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A4" w:rsidRDefault="00665BA4" w:rsidP="00665BA4">
      <w:pPr>
        <w:autoSpaceDE w:val="0"/>
        <w:autoSpaceDN w:val="0"/>
        <w:adjustRightInd w:val="0"/>
        <w:spacing w:after="0" w:line="240" w:lineRule="auto"/>
        <w:jc w:val="both"/>
        <w:rPr>
          <w:rFonts w:ascii="Georgia" w:hAnsi="Georgia" w:cs="Times-Roman"/>
          <w:color w:val="2F5496" w:themeColor="accent1" w:themeShade="BF"/>
          <w:sz w:val="28"/>
          <w:szCs w:val="24"/>
        </w:rPr>
      </w:pPr>
      <w:r w:rsidRPr="00EE6202">
        <w:rPr>
          <w:rFonts w:ascii="Georgia" w:hAnsi="Georgia" w:cs="Times-Roman"/>
          <w:color w:val="2F5496" w:themeColor="accent1" w:themeShade="BF"/>
          <w:sz w:val="28"/>
          <w:szCs w:val="24"/>
        </w:rPr>
        <w:t>Líneas aéreas</w:t>
      </w:r>
    </w:p>
    <w:p w:rsidR="00665BA4" w:rsidRPr="001A0418" w:rsidRDefault="00665BA4" w:rsidP="00665BA4">
      <w:pPr>
        <w:autoSpaceDE w:val="0"/>
        <w:autoSpaceDN w:val="0"/>
        <w:adjustRightInd w:val="0"/>
        <w:spacing w:after="0" w:line="240" w:lineRule="auto"/>
        <w:jc w:val="both"/>
        <w:rPr>
          <w:rFonts w:ascii="Georgia" w:hAnsi="Georgia" w:cs="Times-Roman"/>
          <w:sz w:val="24"/>
          <w:szCs w:val="24"/>
        </w:rPr>
      </w:pPr>
      <w:r w:rsidRPr="001A0418">
        <w:rPr>
          <w:rFonts w:ascii="Georgia" w:hAnsi="Georgia" w:cs="Times-Roman"/>
          <w:sz w:val="24"/>
          <w:szCs w:val="24"/>
        </w:rPr>
        <w:t>Para reservas e información de plani</w:t>
      </w:r>
      <w:r w:rsidRPr="001A0418">
        <w:rPr>
          <w:rFonts w:ascii="Georgia" w:hAnsi="Georgia" w:cs="Times-Roman+2"/>
          <w:sz w:val="24"/>
          <w:szCs w:val="24"/>
        </w:rPr>
        <w:t>fi</w:t>
      </w:r>
      <w:r w:rsidRPr="001A0418">
        <w:rPr>
          <w:rFonts w:ascii="Georgia" w:hAnsi="Georgia" w:cs="Times-Roman"/>
          <w:sz w:val="24"/>
          <w:szCs w:val="24"/>
        </w:rPr>
        <w:t>cación. Las líneas aéreas fueron de los primeros en usar las bases de datos de forma distribuida geográficamente (los terminales situados en todo el mundo accedían al sistema de bases de datos centralizado a través de las líneas telefónicas y otras redes de datos).</w:t>
      </w:r>
    </w:p>
    <w:p w:rsidR="00665BA4" w:rsidRPr="001A0418" w:rsidRDefault="00665BA4" w:rsidP="00665BA4">
      <w:pPr>
        <w:autoSpaceDE w:val="0"/>
        <w:autoSpaceDN w:val="0"/>
        <w:adjustRightInd w:val="0"/>
        <w:spacing w:after="0" w:line="240" w:lineRule="auto"/>
        <w:jc w:val="both"/>
        <w:rPr>
          <w:rStyle w:val="Referenciasutil"/>
        </w:rPr>
      </w:pPr>
      <w:sdt>
        <w:sdtPr>
          <w:rPr>
            <w:rStyle w:val="Referenciasutil"/>
          </w:rPr>
          <w:id w:val="946435533"/>
          <w:citation/>
        </w:sdtPr>
        <w:sdtContent>
          <w:r w:rsidRPr="001A0418">
            <w:rPr>
              <w:rStyle w:val="Referenciasutil"/>
            </w:rPr>
            <w:fldChar w:fldCharType="begin"/>
          </w:r>
          <w:r w:rsidRPr="001A0418">
            <w:rPr>
              <w:rStyle w:val="Referenciasutil"/>
            </w:rPr>
            <w:instrText xml:space="preserve"> CITATION Abr02 \l 2058 </w:instrText>
          </w:r>
          <w:r w:rsidRPr="001A0418">
            <w:rPr>
              <w:rStyle w:val="Referenciasutil"/>
            </w:rPr>
            <w:fldChar w:fldCharType="separate"/>
          </w:r>
          <w:r w:rsidRPr="001A0418">
            <w:rPr>
              <w:rStyle w:val="Referenciasutil"/>
            </w:rPr>
            <w:t>(Silberschatz, 2002)</w:t>
          </w:r>
          <w:r w:rsidRPr="001A0418">
            <w:rPr>
              <w:rStyle w:val="Referenciasutil"/>
            </w:rPr>
            <w:fldChar w:fldCharType="end"/>
          </w:r>
        </w:sdtContent>
      </w:sdt>
    </w:p>
    <w:p w:rsidR="00665BA4" w:rsidRDefault="00665BA4" w:rsidP="00665BA4">
      <w:pPr>
        <w:autoSpaceDE w:val="0"/>
        <w:autoSpaceDN w:val="0"/>
        <w:adjustRightInd w:val="0"/>
        <w:spacing w:after="0" w:line="240" w:lineRule="auto"/>
        <w:jc w:val="both"/>
        <w:rPr>
          <w:rFonts w:ascii="Georgia" w:hAnsi="Georgia" w:cs="Times-Roman"/>
          <w:sz w:val="24"/>
          <w:szCs w:val="24"/>
        </w:rPr>
      </w:pPr>
    </w:p>
    <w:p w:rsidR="001A0418" w:rsidRPr="001A0418" w:rsidRDefault="001A0418" w:rsidP="001A0418">
      <w:pPr>
        <w:autoSpaceDE w:val="0"/>
        <w:autoSpaceDN w:val="0"/>
        <w:adjustRightInd w:val="0"/>
        <w:spacing w:after="0" w:line="240" w:lineRule="auto"/>
        <w:jc w:val="both"/>
        <w:rPr>
          <w:rFonts w:ascii="Georgia" w:hAnsi="Georgia" w:cs="Times-Roman"/>
          <w:sz w:val="24"/>
          <w:szCs w:val="24"/>
        </w:rPr>
      </w:pPr>
      <w:bookmarkStart w:id="0" w:name="_GoBack"/>
      <w:bookmarkEnd w:id="0"/>
    </w:p>
    <w:sectPr w:rsidR="001A0418" w:rsidRPr="001A04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Roman+2">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34"/>
    <w:rsid w:val="001A0418"/>
    <w:rsid w:val="003E1534"/>
    <w:rsid w:val="00665BA4"/>
    <w:rsid w:val="0075711E"/>
    <w:rsid w:val="00B54D34"/>
    <w:rsid w:val="00EE6202"/>
    <w:rsid w:val="00F22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B2B2"/>
  <w15:chartTrackingRefBased/>
  <w15:docId w15:val="{B55B848B-B146-42E9-8810-79857A46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sutil">
    <w:name w:val="Subtle Reference"/>
    <w:basedOn w:val="Fuentedeprrafopredeter"/>
    <w:uiPriority w:val="31"/>
    <w:qFormat/>
    <w:rsid w:val="001A041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Abr02</b:Tag>
    <b:SourceType>Book</b:SourceType>
    <b:Guid>{B40A01C7-E1B0-4DFD-B941-C1A6EF6AFC38}</b:Guid>
    <b:Author>
      <b:Author>
        <b:NameList>
          <b:Person>
            <b:Last>Silberschatz</b:Last>
            <b:First>Abraham</b:First>
          </b:Person>
        </b:NameList>
      </b:Author>
      <b:Editor>
        <b:NameList>
          <b:Person>
            <b:Last>Madrid</b:Last>
            <b:First>Concepción</b:First>
            <b:Middle>Fernández</b:Middle>
          </b:Person>
        </b:NameList>
      </b:Editor>
    </b:Author>
    <b:Title>Fundamentos de bases de datos</b:Title>
    <b:Year>2002</b:Year>
    <b:City>Madrid</b:City>
    <b:Publisher>McGRAW-HILL/INTERAMERICANA DE ESPAÑA, S. A. U.</b:Publisher>
    <b:CountryRegion>España</b:CountryRegion>
    <b:Edition>Cuarta edición</b:Edition>
    <b:RefOrder>1</b:RefOrder>
  </b:Source>
</b:Sources>
</file>

<file path=customXml/itemProps1.xml><?xml version="1.0" encoding="utf-8"?>
<ds:datastoreItem xmlns:ds="http://schemas.openxmlformats.org/officeDocument/2006/customXml" ds:itemID="{FE47B838-1B37-4C8E-9710-7BABF6A8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Magaña Calderón</dc:creator>
  <cp:keywords/>
  <dc:description/>
  <cp:lastModifiedBy>Mauricio Magaña Calderón</cp:lastModifiedBy>
  <cp:revision>2</cp:revision>
  <dcterms:created xsi:type="dcterms:W3CDTF">2019-02-06T00:44:00Z</dcterms:created>
  <dcterms:modified xsi:type="dcterms:W3CDTF">2019-02-06T00:44:00Z</dcterms:modified>
</cp:coreProperties>
</file>