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53" w:rsidRDefault="002B7E53" w:rsidP="002B7E53">
      <w:pPr>
        <w:pStyle w:val="Puesto"/>
        <w:spacing w:line="240" w:lineRule="auto"/>
        <w:rPr>
          <w:sz w:val="72"/>
          <w:lang w:val="es-ES"/>
        </w:rPr>
      </w:pPr>
      <w:bookmarkStart w:id="0" w:name="_GoBack"/>
      <w:bookmarkEnd w:id="0"/>
      <w:r w:rsidRPr="003A0B9D">
        <w:rPr>
          <w:noProof/>
          <w:lang w:val="es-CO" w:eastAsia="es-CO"/>
        </w:rPr>
        <w:drawing>
          <wp:inline distT="0" distB="0" distL="0" distR="0" wp14:anchorId="598FDF2D" wp14:editId="7F71A1C7">
            <wp:extent cx="6657762" cy="2105539"/>
            <wp:effectExtent l="0" t="0" r="0" b="9525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6" b="16873"/>
                    <a:stretch/>
                  </pic:blipFill>
                  <pic:spPr bwMode="auto">
                    <a:xfrm>
                      <a:off x="0" y="0"/>
                      <a:ext cx="6677267" cy="2111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7E53" w:rsidRDefault="002B7E53" w:rsidP="002B7E53">
      <w:pPr>
        <w:pStyle w:val="Puesto"/>
        <w:spacing w:line="240" w:lineRule="auto"/>
        <w:rPr>
          <w:sz w:val="72"/>
          <w:lang w:val="es-ES"/>
        </w:rPr>
      </w:pPr>
    </w:p>
    <w:p w:rsidR="002B7E53" w:rsidRDefault="002B7E53" w:rsidP="002B7E53">
      <w:pPr>
        <w:pStyle w:val="Puesto"/>
        <w:spacing w:line="240" w:lineRule="auto"/>
        <w:rPr>
          <w:b/>
          <w:sz w:val="72"/>
          <w:lang w:val="es-ES"/>
        </w:rPr>
      </w:pPr>
      <w:r w:rsidRPr="002B7E53">
        <w:rPr>
          <w:b/>
          <w:sz w:val="72"/>
          <w:lang w:val="es-ES"/>
        </w:rPr>
        <w:t>EJECUCION DE LA FORMACION PROFESIONAL</w:t>
      </w:r>
    </w:p>
    <w:p w:rsidR="002B7E53" w:rsidRPr="002B7E53" w:rsidRDefault="002B7E53" w:rsidP="002B7E53">
      <w:pPr>
        <w:rPr>
          <w:lang w:val="es-ES" w:eastAsia="ja-JP"/>
        </w:rPr>
      </w:pPr>
    </w:p>
    <w:p w:rsidR="002B7E53" w:rsidRPr="00025085" w:rsidRDefault="002B7E53" w:rsidP="002B7E53">
      <w:pPr>
        <w:pStyle w:val="Puesto"/>
        <w:spacing w:line="240" w:lineRule="auto"/>
        <w:rPr>
          <w:sz w:val="52"/>
          <w:lang w:val="es-ES"/>
        </w:rPr>
      </w:pPr>
      <w:r w:rsidRPr="00025085">
        <w:rPr>
          <w:sz w:val="52"/>
          <w:lang w:val="es-ES"/>
        </w:rPr>
        <w:t>Escuela Nacional de</w:t>
      </w:r>
    </w:p>
    <w:p w:rsidR="002B7E53" w:rsidRDefault="002B7E53" w:rsidP="002B7E53">
      <w:pPr>
        <w:pStyle w:val="Puesto"/>
        <w:spacing w:line="240" w:lineRule="auto"/>
        <w:rPr>
          <w:sz w:val="52"/>
          <w:lang w:val="es-ES"/>
        </w:rPr>
      </w:pPr>
      <w:r>
        <w:rPr>
          <w:b/>
          <w:noProof/>
          <w:sz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55846BB" wp14:editId="669E3C16">
            <wp:simplePos x="0" y="0"/>
            <wp:positionH relativeFrom="column">
              <wp:posOffset>2669540</wp:posOffset>
            </wp:positionH>
            <wp:positionV relativeFrom="paragraph">
              <wp:posOffset>78838</wp:posOffset>
            </wp:positionV>
            <wp:extent cx="2636520" cy="3469105"/>
            <wp:effectExtent l="0" t="0" r="0" b="0"/>
            <wp:wrapNone/>
            <wp:docPr id="153" name="Imagen 153" descr="C:\Users\jjfarak\Desktop\so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farak\Desktop\sof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3" t="14646" r="7117" b="9596"/>
                    <a:stretch/>
                  </pic:blipFill>
                  <pic:spPr bwMode="auto">
                    <a:xfrm>
                      <a:off x="0" y="0"/>
                      <a:ext cx="2636520" cy="346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085">
        <w:rPr>
          <w:sz w:val="52"/>
          <w:lang w:val="es-ES"/>
        </w:rPr>
        <w:t xml:space="preserve">instructores </w:t>
      </w:r>
    </w:p>
    <w:p w:rsidR="002B7E53" w:rsidRDefault="002B7E53" w:rsidP="002B7E53">
      <w:pPr>
        <w:jc w:val="right"/>
        <w:rPr>
          <w:color w:val="44546A" w:themeColor="text2"/>
          <w:sz w:val="40"/>
          <w:lang w:val="es-ES" w:eastAsia="ja-JP"/>
        </w:rPr>
      </w:pPr>
    </w:p>
    <w:p w:rsidR="002B7E53" w:rsidRDefault="002B7E53" w:rsidP="002B7E53">
      <w:pPr>
        <w:jc w:val="right"/>
        <w:rPr>
          <w:color w:val="44546A" w:themeColor="text2"/>
          <w:sz w:val="40"/>
          <w:lang w:val="es-ES" w:eastAsia="ja-JP"/>
        </w:rPr>
      </w:pPr>
    </w:p>
    <w:p w:rsidR="002B7E53" w:rsidRPr="00025085" w:rsidRDefault="002B7E53" w:rsidP="002B7E53">
      <w:pPr>
        <w:rPr>
          <w:color w:val="44546A" w:themeColor="text2"/>
          <w:sz w:val="48"/>
          <w:lang w:val="es-ES" w:eastAsia="ja-JP"/>
        </w:rPr>
      </w:pPr>
      <w:r>
        <w:rPr>
          <w:color w:val="44546A" w:themeColor="text2"/>
          <w:sz w:val="48"/>
          <w:lang w:val="es-ES" w:eastAsia="ja-JP"/>
        </w:rPr>
        <w:t>F</w:t>
      </w:r>
      <w:r w:rsidRPr="00025085">
        <w:rPr>
          <w:color w:val="44546A" w:themeColor="text2"/>
          <w:sz w:val="48"/>
          <w:lang w:val="es-ES" w:eastAsia="ja-JP"/>
        </w:rPr>
        <w:t>ormación</w:t>
      </w:r>
    </w:p>
    <w:p w:rsidR="002B7E53" w:rsidRPr="00025085" w:rsidRDefault="002B7E53" w:rsidP="002B7E53">
      <w:pPr>
        <w:pStyle w:val="Prrafodelista"/>
        <w:numPr>
          <w:ilvl w:val="0"/>
          <w:numId w:val="2"/>
        </w:numPr>
        <w:spacing w:after="200" w:line="276" w:lineRule="auto"/>
        <w:contextualSpacing/>
        <w:jc w:val="left"/>
        <w:rPr>
          <w:color w:val="44546A" w:themeColor="text2"/>
          <w:sz w:val="32"/>
          <w:lang w:val="es-ES" w:eastAsia="ja-JP"/>
        </w:rPr>
      </w:pPr>
      <w:r w:rsidRPr="00025085">
        <w:rPr>
          <w:color w:val="44546A" w:themeColor="text2"/>
          <w:sz w:val="32"/>
          <w:lang w:val="es-ES" w:eastAsia="ja-JP"/>
        </w:rPr>
        <w:t>Pedagógica</w:t>
      </w:r>
    </w:p>
    <w:p w:rsidR="002B7E53" w:rsidRPr="00025085" w:rsidRDefault="002B7E53" w:rsidP="002B7E53">
      <w:pPr>
        <w:pStyle w:val="Prrafodelista"/>
        <w:rPr>
          <w:color w:val="44546A" w:themeColor="text2"/>
          <w:sz w:val="32"/>
          <w:lang w:val="es-ES" w:eastAsia="ja-JP"/>
        </w:rPr>
      </w:pPr>
    </w:p>
    <w:p w:rsidR="002B7E53" w:rsidRDefault="002B7E53" w:rsidP="002B7E53">
      <w:pPr>
        <w:rPr>
          <w:lang w:val="es-ES" w:eastAsia="ja-JP"/>
        </w:rPr>
      </w:pPr>
    </w:p>
    <w:p w:rsidR="002B7E53" w:rsidRDefault="002B7E53" w:rsidP="002B7E53">
      <w:pPr>
        <w:jc w:val="both"/>
        <w:rPr>
          <w:lang w:val="es-ES" w:eastAsia="ja-JP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2B7E53" w:rsidRDefault="002B7E53" w:rsidP="002B7E53">
      <w:pPr>
        <w:jc w:val="both"/>
        <w:rPr>
          <w:rFonts w:cs="Arial"/>
        </w:rPr>
      </w:pPr>
    </w:p>
    <w:p w:rsidR="00F056B2" w:rsidRPr="008555F9" w:rsidRDefault="00F056B2" w:rsidP="002B7E53">
      <w:pPr>
        <w:jc w:val="both"/>
        <w:rPr>
          <w:rFonts w:cs="Arial"/>
        </w:rPr>
      </w:pPr>
      <w:r w:rsidRPr="008555F9">
        <w:rPr>
          <w:rFonts w:cs="Arial"/>
        </w:rPr>
        <w:lastRenderedPageBreak/>
        <w:t xml:space="preserve">EJECUCION DE LA FORMACION PROFESIONAL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La Ejecución de la Formación Profesional Integral (FPI) en el SENA, es un procedimiento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mediante el cual la institución desarrolla de manera metódica sus acciones de enseñanza, aprendizaje y evaluación. En la ejecución de la Formación Profesional</w:t>
      </w:r>
      <w:r w:rsidR="00351FAD" w:rsidRPr="008555F9">
        <w:rPr>
          <w:rFonts w:cs="Arial"/>
          <w:b w:val="0"/>
        </w:rPr>
        <w:t xml:space="preserve"> Integral</w:t>
      </w:r>
      <w:r w:rsidRPr="008555F9">
        <w:rPr>
          <w:rFonts w:cs="Arial"/>
          <w:b w:val="0"/>
        </w:rPr>
        <w:t>, se desarrollan las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acciones formativas que dan respuesta a las necesidades del sector productivo y social del país, las cuales previamente están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definidas en el procedimiento de desarrollo curricular,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desde el contexto pedagógico, didáctico y administrativo antes de su implementación,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en las actividades de estructuración del proyecto formativo,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y la planeación pedagógica.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Las competencias desarrolladas por el aprendiz implican la construcción y el desarrollo permanente de conocimientos, habilidades y destrezas como también los valores y actitudes necesarios en su perfil ocupacional, para su realización humana y su participación activa en los contextos productivo y social.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La Ejecución de la Formación es un procedimiento clave dentro del proceso formativo institucional, está sujeto al diseño de los programas de formación; se enmarca dentro del modelo pedagógico del SENA, en el que se privilegian el enfoque para el desarrollo de competencias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la estrategia de aprendizaje por proyectos y casos formativos; éste, determina los fines del proceso formativo institucional así como los lineamientos y la metodología que, con carácter holístico, sistémico, interdisciplinario, integral, dinámico y flexible, además se regulan los procesos de enseñanza,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aprendizaje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evaluación.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Entre las principales características del proceso formativo se encuentran: El diseño de situaciones o problemas de interés productivo, tecnológico y social, mediante la estrategia de aprendizaje por proyectos y casos formativos y la utilización de didácticas activas, que contribuyan al desarrollo de las habilidades de pensamiento de orden superior. De igual manera se promueve la incorporación de las cuatro (4) fuentes del conocimiento: instructor, entorno, tecnologías de la información y el trabajo colaborativo, cooperativo y coordinado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en los procesos de aprendizaje, y además una mirada o perspectiva de la evaluación hacia la construcción de conocimiento y el mejoramiento continuo de los desempeños, los productos y de las acciones que como persona se espera del aprendiz para actuar de manera crítica, responsable y propositiva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en su área de desempeño.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Estas características se dinamizan mediante la interacción permanente entre los dos sujetos fundamentales que participan intersubjetivamente: el Aprendiz y su desarrollo integral como centro del proceso y el Instructor, como orientador y facilitador del aprendizaje.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La ejecución de la Formación Profesional se orienta hacia el desarrollo de competencias clave (habilidades de pensamiento), competencias específicas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(aplicación de los métodos de trabajo en su desempeño)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transversales (ética, comunicaciones, cultura física…) requeridas en el medio productivo y social, en</w:t>
      </w:r>
      <w:r w:rsidR="006C4724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los diferentes niveles de cualificación dentro de las áreas de trabajo que desempeña un </w:t>
      </w:r>
      <w:r w:rsidRPr="008555F9">
        <w:rPr>
          <w:rFonts w:cs="Arial"/>
          <w:b w:val="0"/>
        </w:rPr>
        <w:lastRenderedPageBreak/>
        <w:t xml:space="preserve">aprendiz para ser sostenible (Aprender a Aprender) productivo (Aprender a Hacer confiable) y seguro (Aprender a Ser y Estar).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</w:rPr>
      </w:pPr>
      <w:r w:rsidRPr="008555F9">
        <w:rPr>
          <w:rFonts w:cs="Arial"/>
        </w:rPr>
        <w:t xml:space="preserve">El componente pedagógico en el procedimiento de ejecución </w:t>
      </w:r>
    </w:p>
    <w:p w:rsidR="00F056B2" w:rsidRPr="008555F9" w:rsidRDefault="00F056B2" w:rsidP="008555F9">
      <w:pPr>
        <w:jc w:val="both"/>
        <w:rPr>
          <w:rFonts w:cs="Arial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En la ejecución de la formación profesional se articulan las dinámicas tecnológicas, pedagógicas, culturales y de identidad social con los conocimientos, los procedimientos, las actitudes y los valores; estas dinámicas dan forma a una propuesta metodológica que se estructura a partir de: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El desarrollo de habilidades de pensamiento de orden superior (el análisis, la síntesis…), así como capacidades para la observación, la organización.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Las habilidades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las capacidades a potencializar por el aprendiz son el fundamento para el desarrollo de las competencias y el pensamiento sistémico, creativo e innovador; el aprendiz comprende los fundamentos científicos de las tecnologías, los de su operación y mantenimiento.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La formación por procesos más que en tareas o resultados; en ésta convergen los tres saberes: el saber, el saber hacer y el ser. Se privilegia la participación y la colaboración del aprendiz mediante el trabajo en equipo y el trabajo autónomo; el aprendizaje basado en problemas; y la aplicación de las estrategias didácticas activas, en el contexto de la relación constante entre teoría y práctica.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La formación para la investigación pedagógica y tecnológica mediante la aplicación la estrategia de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“aprendizaje por proyectos y casos formativos”, la cual se caracteriza por facilitar la aplicación de una amplia gama de didácticas activas; esta reúne las condiciones propicias para el aprendizaje basado en problemas, y la construcción de conocimiento a partir del desarrollo de las habilidades cognitivas, procedimentales y valorativo -actitudinales. La formulación de proyectos se estructura para contribuir al logro del conjunto de los resultados de aprendizaje contemplados en el programa de formación, y su esencia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se centra en las tendencias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del sector productivo y social.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</w:rPr>
      </w:pPr>
      <w:r w:rsidRPr="008555F9">
        <w:rPr>
          <w:rFonts w:cs="Arial"/>
        </w:rPr>
        <w:t xml:space="preserve">El enfoque para el desarrollo de competencias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El SENA cuenta con avances significativos tanto en la concepción como en la taxonomía de competencias desarrolladas en el contexto de la formación profesional; la convergencia de lo cognoscitivo, lo práctico, lo axiológico, lo comunicativo, lo tecnológico conforman la totalidad que identifica la competencia; no es la suma de cada uno de estos aspectos sino la interrelación sistémica e interdependiente entre saber, saber – hacer y ser; esta convergencia da sentido al hacer, pues significa “usar con sentido” los conocimientos más allá de lo instrumental. </w:t>
      </w:r>
    </w:p>
    <w:p w:rsidR="00F056B2" w:rsidRPr="008555F9" w:rsidRDefault="00F056B2" w:rsidP="008555F9">
      <w:pPr>
        <w:ind w:firstLine="708"/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</w:rPr>
      </w:pPr>
      <w:r w:rsidRPr="008555F9">
        <w:rPr>
          <w:rFonts w:cs="Arial"/>
        </w:rPr>
        <w:t>Secuencia metodológica en el contexto de la ejecución</w:t>
      </w:r>
      <w:r w:rsidR="00351FAD" w:rsidRPr="008555F9">
        <w:rPr>
          <w:rFonts w:cs="Arial"/>
        </w:rPr>
        <w:t xml:space="preserve"> </w:t>
      </w:r>
      <w:r w:rsidRPr="008555F9">
        <w:rPr>
          <w:rFonts w:cs="Arial"/>
        </w:rPr>
        <w:t>de la formación profesional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lastRenderedPageBreak/>
        <w:t>La propuesta didáctica en el contexto de la ejecución de la formación parte de la reflexión sobre cómo aprender, cómo enseñar, cómo evaluar, y, sobre todo, cómo llevarlo a la práctica; es decir, cómo desarrollar un aprendizaje significativo; reflexión que conduce a concretar la intención formativa, así como a posicionar la autonomía y la relevancia, tanto del rol orientador del instructor, como el papel protagónico del aprendiz</w:t>
      </w:r>
      <w:r w:rsidR="006C4724">
        <w:rPr>
          <w:rFonts w:cs="Arial"/>
          <w:b w:val="0"/>
        </w:rPr>
        <w:t>.</w:t>
      </w:r>
    </w:p>
    <w:p w:rsidR="00F056B2" w:rsidRPr="008555F9" w:rsidRDefault="00F056B2" w:rsidP="002B7E53">
      <w:pPr>
        <w:jc w:val="center"/>
        <w:rPr>
          <w:rFonts w:cs="Arial"/>
          <w:b w:val="0"/>
        </w:rPr>
      </w:pPr>
      <w:r w:rsidRPr="008555F9">
        <w:rPr>
          <w:rFonts w:cs="Arial"/>
          <w:b w:val="0"/>
          <w:noProof/>
          <w:lang w:eastAsia="es-CO"/>
        </w:rPr>
        <w:drawing>
          <wp:inline distT="0" distB="0" distL="0" distR="0" wp14:anchorId="5C3DBA69" wp14:editId="472530AD">
            <wp:extent cx="4493623" cy="1685109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6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2B7E53">
      <w:pPr>
        <w:jc w:val="center"/>
        <w:rPr>
          <w:rFonts w:cs="Arial"/>
          <w:b w:val="0"/>
        </w:rPr>
      </w:pPr>
      <w:r w:rsidRPr="008555F9">
        <w:rPr>
          <w:rFonts w:cs="Arial"/>
          <w:b w:val="0"/>
          <w:noProof/>
          <w:lang w:eastAsia="es-CO"/>
        </w:rPr>
        <w:drawing>
          <wp:inline distT="0" distB="0" distL="0" distR="0" wp14:anchorId="78C93137" wp14:editId="5971F90D">
            <wp:extent cx="3703320" cy="16589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La propuesta metodológica del SENA es innovadora en la medida en que privilegia el aprendizaje, y centra la atención en el desarrollo humano y técnico del aprendiz.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Propende por una pedagogía emancipadora para lograr el fortalecimiento de los procesos emprendedores, y propiciar así,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escenarios apropiados para la innovación, la investigación aplicada y el desarrollo tecnológico.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</w:rPr>
      </w:pPr>
      <w:r w:rsidRPr="008555F9">
        <w:rPr>
          <w:rFonts w:cs="Arial"/>
        </w:rPr>
        <w:t xml:space="preserve">Prospectiva y Líneas de trabajo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El fortalecimiento de la calidad en la ejecución de la formación profesional se logra a partir de un marco de referencia institucional claro, preciso, unificado y con carácter sistémico.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Un modelo pedagógico contemporáneo, propio de la naturaleza de la formación profesional, con enfoque sistémico, interdisciplinario e integral que posibilite el desarrollo de acciones de formación e investigación pertinentes con la dinámica constante entre formación y trabajo, con actualización tecnológica,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y coherente con el desarrollo productivo y social.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Una unidad técnica y pedagógica, </w:t>
      </w:r>
      <w:r w:rsidR="00A8662E" w:rsidRPr="008555F9">
        <w:rPr>
          <w:rFonts w:cs="Arial"/>
          <w:b w:val="0"/>
        </w:rPr>
        <w:t xml:space="preserve">es la </w:t>
      </w:r>
      <w:r w:rsidRPr="008555F9">
        <w:rPr>
          <w:rFonts w:cs="Arial"/>
          <w:b w:val="0"/>
        </w:rPr>
        <w:t>expresión de una política formativa insti</w:t>
      </w:r>
      <w:r w:rsidR="00A8662E" w:rsidRPr="008555F9">
        <w:rPr>
          <w:rFonts w:cs="Arial"/>
          <w:b w:val="0"/>
        </w:rPr>
        <w:t>tucional unificada, que enmarca e</w:t>
      </w:r>
      <w:r w:rsidRPr="008555F9">
        <w:rPr>
          <w:rFonts w:cs="Arial"/>
          <w:b w:val="0"/>
        </w:rPr>
        <w:t xml:space="preserve">l desarrollo de las acciones formativas con </w:t>
      </w:r>
      <w:r w:rsidRPr="008555F9">
        <w:rPr>
          <w:rFonts w:cs="Arial"/>
          <w:b w:val="0"/>
        </w:rPr>
        <w:lastRenderedPageBreak/>
        <w:t>enfoque sistémico, que fortalezca los criterios, lineamientos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procedimientos comunes a los diferentes procesos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de la formación profesional.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El fortalecimiento de procesos y procedimientos que normalicen y aseguren la incorporación permanente de las innovaciones y los desarrollos tecnológicos desde y hacia la ejecución de la formación profesional; la mayor incorporación y uso de las tecnologías de la información y la comunicación, se convierten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en el marco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para promover acciones transculturales y de identidad social enseñanza multilingüe y los intercambios internacionales de aprendices e instructores.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 xml:space="preserve">La apropiación de procesos y procedimientos que normalicen y aseguren la implementación, el seguimiento y el control de un sistema de mejoramiento </w:t>
      </w:r>
      <w:proofErr w:type="gramStart"/>
      <w:r w:rsidR="00E0080E" w:rsidRPr="008555F9">
        <w:rPr>
          <w:rFonts w:cs="Arial"/>
          <w:b w:val="0"/>
        </w:rPr>
        <w:t>continuo</w:t>
      </w:r>
      <w:proofErr w:type="gramEnd"/>
      <w:r w:rsidRPr="008555F9">
        <w:rPr>
          <w:rFonts w:cs="Arial"/>
          <w:b w:val="0"/>
        </w:rPr>
        <w:t xml:space="preserve"> de la ejecución de la formación profesional; esta apuesta implica que todos los aprendices e instructores deban estar dispuestos a aprender y aceptar el acompañamiento constante, como estrategia para el mejoramiento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continuo.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Una gestión institucional de carácter sistémico relacionado con el desarrollo de los procesos necesarios para lograr el fortalecimiento de la organización, la normalización, la provisión, la administración, el seguimiento y el control del talento humano y de los recursos tecnológicos, financieros, administrativos y físicos al servicio de la formación profesional; los conceptos de calidad, eficiencia y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eficacia se enfatizan en su gestión sistémica, más allá de criterios estrictamente productivos.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Un aspecto relevante para fortalecer la estructura de la ejecución de la formación profesional, se determina desde la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evaluación institucional, en el marco del aseguramiento de la calidad, para garantizar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los logros del proceso (evaluación de la formación) y de impacto (evaluación de resultado).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Pr="008555F9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La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evaluación de impacto compromete la responsabilidad del SENA, que además de alcanzar sus propósitos transformadores, debe demostrar la excelencia, conforme la declaración misional. </w:t>
      </w:r>
    </w:p>
    <w:p w:rsidR="00F056B2" w:rsidRPr="008555F9" w:rsidRDefault="00F056B2" w:rsidP="008555F9">
      <w:pPr>
        <w:jc w:val="both"/>
        <w:rPr>
          <w:rFonts w:cs="Arial"/>
          <w:b w:val="0"/>
        </w:rPr>
      </w:pPr>
    </w:p>
    <w:p w:rsidR="00F056B2" w:rsidRDefault="00F056B2" w:rsidP="008555F9">
      <w:pPr>
        <w:jc w:val="both"/>
        <w:rPr>
          <w:rFonts w:cs="Arial"/>
          <w:b w:val="0"/>
        </w:rPr>
      </w:pPr>
      <w:r w:rsidRPr="008555F9">
        <w:rPr>
          <w:rFonts w:cs="Arial"/>
          <w:b w:val="0"/>
        </w:rPr>
        <w:t>Lo anterior involucra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>el cumplimiento de las características de calidad del diseño curricular y las condiciones para la ejecución de la oferta formativa (-planeación, administración y ejecución de la oferta formativa, en esquemas y modalidades</w:t>
      </w:r>
      <w:r w:rsidR="00351FAD" w:rsidRPr="008555F9">
        <w:rPr>
          <w:rFonts w:cs="Arial"/>
          <w:b w:val="0"/>
        </w:rPr>
        <w:t xml:space="preserve"> </w:t>
      </w:r>
      <w:r w:rsidRPr="008555F9">
        <w:rPr>
          <w:rFonts w:cs="Arial"/>
          <w:b w:val="0"/>
        </w:rPr>
        <w:t xml:space="preserve">-presencial en aulas fijas y aulas móviles, virtual y a distancia-), también el diseño y uso de herramientas y esquemas de monitoreo y evaluación (como insumos para fortalecer el modelo de pertinencia y las evaluaciones de impacto), que permitan configurar un modelo de administración educativa con indicadores de gestión que responda a una ejecución acorde con los retos que asume el SENA, en el desarrollo de la Formación Profesional Integral. </w:t>
      </w:r>
    </w:p>
    <w:p w:rsidR="006C4724" w:rsidRDefault="006C4724" w:rsidP="008555F9">
      <w:pPr>
        <w:jc w:val="both"/>
        <w:rPr>
          <w:rFonts w:cs="Arial"/>
          <w:b w:val="0"/>
        </w:rPr>
      </w:pPr>
    </w:p>
    <w:p w:rsidR="006C4724" w:rsidRDefault="006C4724" w:rsidP="008555F9">
      <w:pPr>
        <w:jc w:val="both"/>
        <w:rPr>
          <w:rFonts w:cs="Arial"/>
          <w:b w:val="0"/>
        </w:rPr>
      </w:pPr>
    </w:p>
    <w:p w:rsidR="006C4724" w:rsidRPr="008555F9" w:rsidRDefault="006C4724" w:rsidP="008555F9">
      <w:pPr>
        <w:jc w:val="both"/>
        <w:rPr>
          <w:rFonts w:cs="Arial"/>
          <w:b w:val="0"/>
        </w:rPr>
      </w:pPr>
    </w:p>
    <w:sectPr w:rsidR="006C4724" w:rsidRPr="008555F9" w:rsidSect="006C472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6DAD"/>
    <w:multiLevelType w:val="hybridMultilevel"/>
    <w:tmpl w:val="C9B49C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5A7"/>
    <w:multiLevelType w:val="hybridMultilevel"/>
    <w:tmpl w:val="1056291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2"/>
    <w:rsid w:val="00102C5F"/>
    <w:rsid w:val="001428DC"/>
    <w:rsid w:val="0017107D"/>
    <w:rsid w:val="001A1F91"/>
    <w:rsid w:val="002B7E53"/>
    <w:rsid w:val="00351FAD"/>
    <w:rsid w:val="00445BB3"/>
    <w:rsid w:val="005636A6"/>
    <w:rsid w:val="00651709"/>
    <w:rsid w:val="006C4724"/>
    <w:rsid w:val="0072283F"/>
    <w:rsid w:val="008555F9"/>
    <w:rsid w:val="008B1E88"/>
    <w:rsid w:val="008E5C2C"/>
    <w:rsid w:val="00A23099"/>
    <w:rsid w:val="00A8662E"/>
    <w:rsid w:val="00CA2171"/>
    <w:rsid w:val="00CC564E"/>
    <w:rsid w:val="00D51F90"/>
    <w:rsid w:val="00DC4971"/>
    <w:rsid w:val="00DF5BEE"/>
    <w:rsid w:val="00E0080E"/>
    <w:rsid w:val="00E47000"/>
    <w:rsid w:val="00E66C3F"/>
    <w:rsid w:val="00F056B2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F14261-2C8D-432C-9E59-D75A2681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B2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056B2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056B2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styleId="Hipervnculo">
    <w:name w:val="Hyperlink"/>
    <w:uiPriority w:val="99"/>
    <w:rsid w:val="00F056B2"/>
    <w:rPr>
      <w:color w:val="0000FF"/>
      <w:u w:val="single"/>
    </w:rPr>
  </w:style>
  <w:style w:type="paragraph" w:styleId="NormalWeb">
    <w:name w:val="Normal (Web)"/>
    <w:basedOn w:val="Normal"/>
    <w:uiPriority w:val="99"/>
    <w:rsid w:val="00F056B2"/>
    <w:pPr>
      <w:spacing w:before="100" w:beforeAutospacing="1" w:after="100" w:afterAutospacing="1"/>
    </w:pPr>
    <w:rPr>
      <w:rFonts w:ascii="Times New Roman" w:hAnsi="Times New Roman"/>
      <w:b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AD"/>
    <w:rPr>
      <w:rFonts w:ascii="Tahoma" w:eastAsia="Times New Roman" w:hAnsi="Tahoma" w:cs="Tahoma"/>
      <w:b/>
      <w:sz w:val="16"/>
      <w:szCs w:val="16"/>
      <w:lang w:eastAsia="es-ES"/>
    </w:rPr>
  </w:style>
  <w:style w:type="paragraph" w:styleId="Prrafodelista">
    <w:name w:val="List Paragraph"/>
    <w:aliases w:val="Llista Nivell1"/>
    <w:basedOn w:val="Normal"/>
    <w:link w:val="PrrafodelistaCar"/>
    <w:uiPriority w:val="34"/>
    <w:qFormat/>
    <w:rsid w:val="002B7E53"/>
    <w:pPr>
      <w:spacing w:line="480" w:lineRule="auto"/>
      <w:ind w:left="720"/>
      <w:jc w:val="center"/>
    </w:pPr>
    <w:rPr>
      <w:rFonts w:ascii="Times New Roman" w:eastAsiaTheme="minorHAnsi" w:hAnsi="Times New Roman"/>
      <w:szCs w:val="22"/>
      <w:lang w:eastAsia="en-US"/>
    </w:rPr>
  </w:style>
  <w:style w:type="character" w:customStyle="1" w:styleId="PrrafodelistaCar">
    <w:name w:val="Párrafo de lista Car"/>
    <w:aliases w:val="Llista Nivell1 Car"/>
    <w:link w:val="Prrafodelista"/>
    <w:uiPriority w:val="34"/>
    <w:locked/>
    <w:rsid w:val="002B7E53"/>
    <w:rPr>
      <w:rFonts w:ascii="Times New Roman" w:hAnsi="Times New Roman" w:cs="Times New Roman"/>
      <w:b/>
      <w:sz w:val="24"/>
    </w:rPr>
  </w:style>
  <w:style w:type="paragraph" w:styleId="Puesto">
    <w:name w:val="Title"/>
    <w:basedOn w:val="Normal"/>
    <w:next w:val="Normal"/>
    <w:link w:val="PuestoCar"/>
    <w:uiPriority w:val="1"/>
    <w:qFormat/>
    <w:rsid w:val="002B7E53"/>
    <w:pPr>
      <w:spacing w:line="216" w:lineRule="auto"/>
    </w:pPr>
    <w:rPr>
      <w:rFonts w:asciiTheme="majorHAnsi" w:eastAsiaTheme="majorEastAsia" w:hAnsiTheme="majorHAnsi" w:cstheme="majorBidi"/>
      <w:b w:val="0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2B7E53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oviedo</dc:creator>
  <cp:lastModifiedBy>Hernando Oviedo Vera</cp:lastModifiedBy>
  <cp:revision>4</cp:revision>
  <dcterms:created xsi:type="dcterms:W3CDTF">2016-08-12T18:50:00Z</dcterms:created>
  <dcterms:modified xsi:type="dcterms:W3CDTF">2016-08-16T16:57:00Z</dcterms:modified>
</cp:coreProperties>
</file>