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628554" w14:textId="5E391556" w:rsidR="00003536" w:rsidRPr="00520419" w:rsidRDefault="003D73AC" w:rsidP="00243EF0">
      <w:pPr>
        <w:spacing w:after="0" w:line="240" w:lineRule="auto"/>
        <w:rPr>
          <w:rFonts w:cs="Arial"/>
        </w:rPr>
      </w:pPr>
      <w:r>
        <w:rPr>
          <w:rFonts w:cs="Arial"/>
        </w:rPr>
        <w:t>Examples of i</w:t>
      </w:r>
      <w:r w:rsidR="006A083C" w:rsidRPr="00520419">
        <w:rPr>
          <w:rFonts w:cs="Arial"/>
        </w:rPr>
        <w:t>nclusion and exclusion criteria for p</w:t>
      </w:r>
      <w:r w:rsidR="00003536" w:rsidRPr="00520419">
        <w:rPr>
          <w:rFonts w:cs="Arial"/>
        </w:rPr>
        <w:t>apers</w:t>
      </w:r>
      <w:r w:rsidR="00574A46" w:rsidRPr="00520419">
        <w:rPr>
          <w:rFonts w:cs="Arial"/>
        </w:rPr>
        <w:t>.</w:t>
      </w:r>
    </w:p>
    <w:p w14:paraId="61A1C6E6" w14:textId="77777777" w:rsidR="00FA56F0" w:rsidRPr="00520419" w:rsidRDefault="00FA56F0" w:rsidP="00243EF0">
      <w:pPr>
        <w:spacing w:after="0" w:line="240" w:lineRule="auto"/>
        <w:rPr>
          <w:rFonts w:cs="Arial"/>
          <w:i/>
        </w:rPr>
      </w:pPr>
      <w:r w:rsidRPr="00520419">
        <w:rPr>
          <w:rFonts w:cs="Arial"/>
          <w:i/>
        </w:rPr>
        <w:t>The inclusion and exclusion criteria used during the screening process.</w:t>
      </w:r>
    </w:p>
    <w:p w14:paraId="1658482A" w14:textId="77777777" w:rsidR="00F9429F" w:rsidRPr="00520419" w:rsidRDefault="00F9429F" w:rsidP="00243EF0">
      <w:pPr>
        <w:spacing w:after="0" w:line="240" w:lineRule="auto"/>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6"/>
        <w:gridCol w:w="5590"/>
      </w:tblGrid>
      <w:tr w:rsidR="00C42F2E" w:rsidRPr="00520419" w14:paraId="358D084C" w14:textId="77777777" w:rsidTr="00C42F2E">
        <w:tc>
          <w:tcPr>
            <w:tcW w:w="3505" w:type="dxa"/>
          </w:tcPr>
          <w:p w14:paraId="53D5283B" w14:textId="77777777" w:rsidR="00C42F2E" w:rsidRPr="00520419" w:rsidRDefault="00C42F2E" w:rsidP="00243EF0">
            <w:pPr>
              <w:spacing w:after="0" w:line="240" w:lineRule="auto"/>
              <w:rPr>
                <w:rFonts w:cs="Calibri"/>
                <w:b/>
              </w:rPr>
            </w:pPr>
            <w:r w:rsidRPr="00520419">
              <w:rPr>
                <w:rFonts w:cs="Calibri"/>
                <w:b/>
              </w:rPr>
              <w:t>Inclusion Criteria</w:t>
            </w:r>
          </w:p>
        </w:tc>
        <w:tc>
          <w:tcPr>
            <w:tcW w:w="5737" w:type="dxa"/>
          </w:tcPr>
          <w:p w14:paraId="33754962" w14:textId="5A6DFA2A" w:rsidR="00C42F2E" w:rsidRPr="00520419" w:rsidRDefault="00FE3BE8" w:rsidP="00243EF0">
            <w:pPr>
              <w:spacing w:after="0" w:line="240" w:lineRule="auto"/>
              <w:rPr>
                <w:rFonts w:cs="Calibri"/>
                <w:b/>
              </w:rPr>
            </w:pPr>
            <w:r>
              <w:rPr>
                <w:rFonts w:cs="Calibri"/>
                <w:b/>
              </w:rPr>
              <w:t>Examples</w:t>
            </w:r>
            <w:bookmarkStart w:id="0" w:name="_GoBack"/>
            <w:bookmarkEnd w:id="0"/>
          </w:p>
        </w:tc>
      </w:tr>
      <w:tr w:rsidR="00C42F2E" w:rsidRPr="00520419" w14:paraId="39E81B42" w14:textId="77777777" w:rsidTr="00071472">
        <w:tc>
          <w:tcPr>
            <w:tcW w:w="3505" w:type="dxa"/>
          </w:tcPr>
          <w:p w14:paraId="7E842153" w14:textId="77777777" w:rsidR="00C42F2E" w:rsidRPr="00520419" w:rsidRDefault="00C42F2E" w:rsidP="00071472">
            <w:pPr>
              <w:spacing w:after="0" w:line="240" w:lineRule="auto"/>
              <w:rPr>
                <w:rFonts w:cs="Calibri"/>
              </w:rPr>
            </w:pPr>
            <w:r w:rsidRPr="00520419">
              <w:rPr>
                <w:rFonts w:cs="Calibri"/>
              </w:rPr>
              <w:t>Types of studies</w:t>
            </w:r>
          </w:p>
        </w:tc>
        <w:tc>
          <w:tcPr>
            <w:tcW w:w="5737" w:type="dxa"/>
          </w:tcPr>
          <w:p w14:paraId="2DFF6590" w14:textId="77777777" w:rsidR="00C42F2E" w:rsidRPr="00520419" w:rsidRDefault="00C42F2E" w:rsidP="00C42F2E">
            <w:pPr>
              <w:spacing w:after="0" w:line="240" w:lineRule="auto"/>
              <w:rPr>
                <w:rFonts w:cs="Calibri"/>
              </w:rPr>
            </w:pPr>
            <w:r w:rsidRPr="00520419">
              <w:rPr>
                <w:rFonts w:cs="Calibri"/>
              </w:rPr>
              <w:t>Publication date 2000 (inclusive)-present.</w:t>
            </w:r>
          </w:p>
        </w:tc>
      </w:tr>
      <w:tr w:rsidR="00C42F2E" w:rsidRPr="00520419" w14:paraId="25B104D2" w14:textId="77777777" w:rsidTr="00071472">
        <w:tc>
          <w:tcPr>
            <w:tcW w:w="3505" w:type="dxa"/>
          </w:tcPr>
          <w:p w14:paraId="186A7391" w14:textId="77777777" w:rsidR="00C42F2E" w:rsidRPr="00520419" w:rsidRDefault="00C42F2E" w:rsidP="00071472">
            <w:pPr>
              <w:spacing w:after="0" w:line="240" w:lineRule="auto"/>
              <w:rPr>
                <w:rFonts w:cs="Calibri"/>
              </w:rPr>
            </w:pPr>
          </w:p>
        </w:tc>
        <w:tc>
          <w:tcPr>
            <w:tcW w:w="5737" w:type="dxa"/>
          </w:tcPr>
          <w:p w14:paraId="46E04B2E" w14:textId="77777777" w:rsidR="00C42F2E" w:rsidRPr="00520419" w:rsidRDefault="00C42F2E" w:rsidP="00C42F2E">
            <w:pPr>
              <w:spacing w:after="0" w:line="240" w:lineRule="auto"/>
              <w:rPr>
                <w:rFonts w:cs="Calibri"/>
              </w:rPr>
            </w:pPr>
            <w:r w:rsidRPr="00520419">
              <w:rPr>
                <w:rFonts w:cs="Calibri"/>
              </w:rPr>
              <w:t>Studies from any geographical location.</w:t>
            </w:r>
          </w:p>
        </w:tc>
      </w:tr>
      <w:tr w:rsidR="00C42F2E" w:rsidRPr="00520419" w14:paraId="2FD9BB06" w14:textId="77777777" w:rsidTr="00071472">
        <w:tc>
          <w:tcPr>
            <w:tcW w:w="3505" w:type="dxa"/>
          </w:tcPr>
          <w:p w14:paraId="1312AF5A" w14:textId="77777777" w:rsidR="00C42F2E" w:rsidRPr="00520419" w:rsidRDefault="00C42F2E" w:rsidP="00071472">
            <w:pPr>
              <w:spacing w:after="0" w:line="240" w:lineRule="auto"/>
              <w:rPr>
                <w:rFonts w:cs="Calibri"/>
              </w:rPr>
            </w:pPr>
          </w:p>
        </w:tc>
        <w:tc>
          <w:tcPr>
            <w:tcW w:w="5737" w:type="dxa"/>
          </w:tcPr>
          <w:p w14:paraId="4EDDD8F9" w14:textId="77777777" w:rsidR="00C42F2E" w:rsidRPr="00520419" w:rsidRDefault="00C42F2E" w:rsidP="00C42F2E">
            <w:pPr>
              <w:spacing w:after="0" w:line="240" w:lineRule="auto"/>
              <w:rPr>
                <w:rFonts w:cs="Calibri"/>
              </w:rPr>
            </w:pPr>
            <w:r w:rsidRPr="00520419">
              <w:rPr>
                <w:rFonts w:cs="Calibri"/>
              </w:rPr>
              <w:t>English language.</w:t>
            </w:r>
          </w:p>
        </w:tc>
      </w:tr>
      <w:tr w:rsidR="00C42F2E" w:rsidRPr="00520419" w14:paraId="613C29FF" w14:textId="77777777" w:rsidTr="00C42F2E">
        <w:tc>
          <w:tcPr>
            <w:tcW w:w="3505" w:type="dxa"/>
          </w:tcPr>
          <w:p w14:paraId="4EE8A49A" w14:textId="77777777" w:rsidR="00C42F2E" w:rsidRPr="00520419" w:rsidRDefault="00C42F2E" w:rsidP="00243EF0">
            <w:pPr>
              <w:spacing w:after="0" w:line="240" w:lineRule="auto"/>
              <w:rPr>
                <w:rFonts w:cs="Calibri"/>
              </w:rPr>
            </w:pPr>
          </w:p>
        </w:tc>
        <w:tc>
          <w:tcPr>
            <w:tcW w:w="5737" w:type="dxa"/>
          </w:tcPr>
          <w:p w14:paraId="4DFF9677" w14:textId="77777777" w:rsidR="00C42F2E" w:rsidRPr="00520419" w:rsidRDefault="00C42F2E" w:rsidP="00C42F2E">
            <w:pPr>
              <w:spacing w:after="0" w:line="240" w:lineRule="auto"/>
              <w:rPr>
                <w:rFonts w:cs="Calibri"/>
              </w:rPr>
            </w:pPr>
            <w:r w:rsidRPr="00520419">
              <w:rPr>
                <w:rFonts w:cs="Calibri"/>
              </w:rPr>
              <w:t>Studies using qualitative methods of analysis (to describe patterns or themes raised by participants) seeking to understand the patient experience through direct contact with patients or direct observation, describing the processes of illness management experienced by patients and their active contributions towards this. This includes o</w:t>
            </w:r>
            <w:r w:rsidRPr="00520419">
              <w:t>riginal qualitative studies, studies involving secondary qualitative analysis of qualitative data, and a qualitative study as part of a mixed methods study e.g.  the study also has a quantitative component.</w:t>
            </w:r>
          </w:p>
        </w:tc>
      </w:tr>
      <w:tr w:rsidR="00C42F2E" w:rsidRPr="00520419" w14:paraId="362D54A4" w14:textId="77777777" w:rsidTr="00C42F2E">
        <w:tc>
          <w:tcPr>
            <w:tcW w:w="3505" w:type="dxa"/>
          </w:tcPr>
          <w:p w14:paraId="5C240283" w14:textId="77777777" w:rsidR="00C42F2E" w:rsidRPr="00520419" w:rsidRDefault="00071472" w:rsidP="00243EF0">
            <w:pPr>
              <w:spacing w:after="0" w:line="240" w:lineRule="auto"/>
              <w:rPr>
                <w:rFonts w:cs="Calibri"/>
              </w:rPr>
            </w:pPr>
            <w:r w:rsidRPr="00520419">
              <w:rPr>
                <w:rFonts w:cs="Calibri"/>
              </w:rPr>
              <w:t xml:space="preserve">Types of participants </w:t>
            </w:r>
          </w:p>
        </w:tc>
        <w:tc>
          <w:tcPr>
            <w:tcW w:w="5737" w:type="dxa"/>
          </w:tcPr>
          <w:p w14:paraId="6C81447D" w14:textId="4EF46ECA" w:rsidR="00C42F2E" w:rsidRPr="00520419" w:rsidRDefault="00C42F2E" w:rsidP="00071472">
            <w:pPr>
              <w:spacing w:after="0" w:line="240" w:lineRule="auto"/>
              <w:rPr>
                <w:rFonts w:cs="Calibri"/>
              </w:rPr>
            </w:pPr>
            <w:r w:rsidRPr="00520419">
              <w:rPr>
                <w:rFonts w:cs="Calibri"/>
              </w:rPr>
              <w:t>Adults (&gt;18 yrs)</w:t>
            </w:r>
          </w:p>
        </w:tc>
      </w:tr>
      <w:tr w:rsidR="00071472" w:rsidRPr="00520419" w14:paraId="099FB291" w14:textId="77777777" w:rsidTr="00071472">
        <w:tc>
          <w:tcPr>
            <w:tcW w:w="3505" w:type="dxa"/>
          </w:tcPr>
          <w:p w14:paraId="0414DA58" w14:textId="77777777" w:rsidR="00071472" w:rsidRPr="00520419" w:rsidRDefault="00071472" w:rsidP="00071472">
            <w:pPr>
              <w:spacing w:after="0" w:line="240" w:lineRule="auto"/>
              <w:rPr>
                <w:rFonts w:cs="Calibri"/>
                <w:u w:val="single"/>
              </w:rPr>
            </w:pPr>
          </w:p>
        </w:tc>
        <w:tc>
          <w:tcPr>
            <w:tcW w:w="5737" w:type="dxa"/>
          </w:tcPr>
          <w:p w14:paraId="2F090F60" w14:textId="77777777" w:rsidR="00071472" w:rsidRPr="00520419" w:rsidRDefault="00071472" w:rsidP="00071472">
            <w:pPr>
              <w:spacing w:after="0" w:line="240" w:lineRule="auto"/>
              <w:rPr>
                <w:rFonts w:cs="Calibri"/>
              </w:rPr>
            </w:pPr>
            <w:r w:rsidRPr="00520419">
              <w:rPr>
                <w:rFonts w:cs="Calibri"/>
              </w:rPr>
              <w:t xml:space="preserve">Diagnosed with at least one CVA /CVD / stroke, including ischaemic, intracerebral haemorrhage or subarachnoid haemorrhage, any anatomic location, as per WHO’s definition ‘rapidly developing clinical signs of focal (at times global) disturbance of cerebral function, lasting more than 24 hours or leading to death with no apparent cause other than that of vascular origin.’ </w:t>
            </w:r>
          </w:p>
        </w:tc>
      </w:tr>
      <w:tr w:rsidR="00071472" w:rsidRPr="00520419" w14:paraId="2CBB89E2" w14:textId="77777777" w:rsidTr="00071472">
        <w:tc>
          <w:tcPr>
            <w:tcW w:w="3505" w:type="dxa"/>
          </w:tcPr>
          <w:p w14:paraId="4E920C3D" w14:textId="77777777" w:rsidR="00071472" w:rsidRPr="00520419" w:rsidRDefault="00071472" w:rsidP="00071472">
            <w:pPr>
              <w:spacing w:after="0" w:line="240" w:lineRule="auto"/>
              <w:rPr>
                <w:rFonts w:cs="Calibri"/>
                <w:u w:val="single"/>
              </w:rPr>
            </w:pPr>
          </w:p>
        </w:tc>
        <w:tc>
          <w:tcPr>
            <w:tcW w:w="5737" w:type="dxa"/>
          </w:tcPr>
          <w:p w14:paraId="53EC5667" w14:textId="77777777" w:rsidR="00071472" w:rsidRPr="00520419" w:rsidRDefault="00071472" w:rsidP="00071472">
            <w:pPr>
              <w:spacing w:after="0" w:line="240" w:lineRule="auto"/>
              <w:rPr>
                <w:rFonts w:cs="Calibri"/>
              </w:rPr>
            </w:pPr>
            <w:r w:rsidRPr="00520419">
              <w:rPr>
                <w:rFonts w:cs="Calibri"/>
              </w:rPr>
              <w:t>Being treated in any ‘usual care’ setting: primary; secondary; tertiary care, e.g. in the hospital, hospice, community, home or rehabilitation.</w:t>
            </w:r>
          </w:p>
        </w:tc>
      </w:tr>
      <w:tr w:rsidR="00071472" w:rsidRPr="00520419" w14:paraId="3E5766FD" w14:textId="77777777" w:rsidTr="00071472">
        <w:tc>
          <w:tcPr>
            <w:tcW w:w="3505" w:type="dxa"/>
          </w:tcPr>
          <w:p w14:paraId="31A55C20" w14:textId="77777777" w:rsidR="00071472" w:rsidRPr="00520419" w:rsidRDefault="00071472" w:rsidP="00071472">
            <w:pPr>
              <w:spacing w:after="0" w:line="240" w:lineRule="auto"/>
              <w:rPr>
                <w:rFonts w:cs="Calibri"/>
                <w:u w:val="single"/>
              </w:rPr>
            </w:pPr>
          </w:p>
        </w:tc>
        <w:tc>
          <w:tcPr>
            <w:tcW w:w="5737" w:type="dxa"/>
          </w:tcPr>
          <w:p w14:paraId="2FCBF3DE" w14:textId="77777777" w:rsidR="00071472" w:rsidRPr="00520419" w:rsidRDefault="00071472" w:rsidP="00071472">
            <w:pPr>
              <w:spacing w:after="0" w:line="240" w:lineRule="auto"/>
              <w:rPr>
                <w:rFonts w:cs="Calibri"/>
                <w:u w:val="single"/>
              </w:rPr>
            </w:pPr>
            <w:r w:rsidRPr="00520419">
              <w:rPr>
                <w:rFonts w:cs="Calibri"/>
              </w:rPr>
              <w:t>Receiving care typical for that geographical location i.e. not part of experimental or pilot studies.</w:t>
            </w:r>
          </w:p>
        </w:tc>
      </w:tr>
      <w:tr w:rsidR="00C42F2E" w:rsidRPr="00520419" w14:paraId="5A344821" w14:textId="77777777" w:rsidTr="00C42F2E">
        <w:tc>
          <w:tcPr>
            <w:tcW w:w="3505" w:type="dxa"/>
          </w:tcPr>
          <w:p w14:paraId="3A16BB7F" w14:textId="77777777" w:rsidR="00071472" w:rsidRPr="00520419" w:rsidRDefault="00071472" w:rsidP="00071472">
            <w:pPr>
              <w:spacing w:after="0" w:line="240" w:lineRule="auto"/>
              <w:rPr>
                <w:rFonts w:cs="Calibri"/>
              </w:rPr>
            </w:pPr>
            <w:r w:rsidRPr="00520419">
              <w:rPr>
                <w:rFonts w:cs="Calibri"/>
              </w:rPr>
              <w:t xml:space="preserve">Types of outcome measures </w:t>
            </w:r>
          </w:p>
          <w:p w14:paraId="1523CAD6" w14:textId="77777777" w:rsidR="00C42F2E" w:rsidRPr="00520419" w:rsidRDefault="00C42F2E" w:rsidP="00243EF0">
            <w:pPr>
              <w:spacing w:after="0" w:line="240" w:lineRule="auto"/>
              <w:rPr>
                <w:rFonts w:cs="Calibri"/>
                <w:u w:val="single"/>
              </w:rPr>
            </w:pPr>
          </w:p>
        </w:tc>
        <w:tc>
          <w:tcPr>
            <w:tcW w:w="5737" w:type="dxa"/>
          </w:tcPr>
          <w:p w14:paraId="19292319" w14:textId="77777777" w:rsidR="00C42F2E" w:rsidRPr="00520419" w:rsidRDefault="00C42F2E" w:rsidP="00071472">
            <w:pPr>
              <w:spacing w:after="0" w:line="240" w:lineRule="auto"/>
            </w:pPr>
            <w:r w:rsidRPr="00520419">
              <w:t>Logistical burdens e.g. interacting with health care organisations, carrying out administrative work involving insurance companies or others, organising appointments or visits from health professionals, organising rehabilitation, arranging transport, funding care.</w:t>
            </w:r>
          </w:p>
        </w:tc>
      </w:tr>
      <w:tr w:rsidR="00071472" w:rsidRPr="00520419" w14:paraId="10269620" w14:textId="77777777" w:rsidTr="00071472">
        <w:tc>
          <w:tcPr>
            <w:tcW w:w="3505" w:type="dxa"/>
          </w:tcPr>
          <w:p w14:paraId="22BFEFDC" w14:textId="77777777" w:rsidR="00071472" w:rsidRPr="00520419" w:rsidRDefault="00071472" w:rsidP="00071472">
            <w:pPr>
              <w:spacing w:after="0" w:line="240" w:lineRule="auto"/>
              <w:rPr>
                <w:rFonts w:cs="Calibri"/>
                <w:u w:val="single"/>
              </w:rPr>
            </w:pPr>
          </w:p>
        </w:tc>
        <w:tc>
          <w:tcPr>
            <w:tcW w:w="5737" w:type="dxa"/>
          </w:tcPr>
          <w:p w14:paraId="3861848B" w14:textId="77777777" w:rsidR="00071472" w:rsidRPr="00520419" w:rsidRDefault="00071472" w:rsidP="00071472">
            <w:pPr>
              <w:spacing w:after="0" w:line="240" w:lineRule="auto"/>
            </w:pPr>
            <w:r w:rsidRPr="00520419">
              <w:t>Technical burdens e.g. enacting lifestyle changes, performing rehabilitation exercises, modifying environments, taking medications, using assistive technologies.</w:t>
            </w:r>
          </w:p>
        </w:tc>
      </w:tr>
      <w:tr w:rsidR="00071472" w:rsidRPr="00520419" w14:paraId="110C863B" w14:textId="77777777" w:rsidTr="00071472">
        <w:tc>
          <w:tcPr>
            <w:tcW w:w="3505" w:type="dxa"/>
          </w:tcPr>
          <w:p w14:paraId="335A03FF" w14:textId="77777777" w:rsidR="00071472" w:rsidRPr="00520419" w:rsidRDefault="00071472" w:rsidP="00071472">
            <w:pPr>
              <w:spacing w:after="0" w:line="240" w:lineRule="auto"/>
              <w:rPr>
                <w:rFonts w:cs="Calibri"/>
                <w:u w:val="single"/>
              </w:rPr>
            </w:pPr>
          </w:p>
        </w:tc>
        <w:tc>
          <w:tcPr>
            <w:tcW w:w="5737" w:type="dxa"/>
          </w:tcPr>
          <w:p w14:paraId="1F581439" w14:textId="77777777" w:rsidR="00071472" w:rsidRPr="00520419" w:rsidRDefault="00071472" w:rsidP="00071472">
            <w:pPr>
              <w:spacing w:after="0" w:line="240" w:lineRule="auto"/>
            </w:pPr>
            <w:r w:rsidRPr="00520419">
              <w:t>Relational burdens e.g. enrolling family, friends and health professionals for support, initiating interactions with possible carers and supporters, maintaining relationships during rehabilitation.</w:t>
            </w:r>
          </w:p>
        </w:tc>
      </w:tr>
      <w:tr w:rsidR="00071472" w:rsidRPr="00520419" w14:paraId="23F66978" w14:textId="77777777" w:rsidTr="00C42F2E">
        <w:tc>
          <w:tcPr>
            <w:tcW w:w="3505" w:type="dxa"/>
          </w:tcPr>
          <w:p w14:paraId="28864FC4" w14:textId="77777777" w:rsidR="00071472" w:rsidRPr="00520419" w:rsidRDefault="00071472" w:rsidP="00243EF0">
            <w:pPr>
              <w:spacing w:after="0" w:line="240" w:lineRule="auto"/>
              <w:rPr>
                <w:rFonts w:cs="Calibri"/>
                <w:u w:val="single"/>
              </w:rPr>
            </w:pPr>
          </w:p>
        </w:tc>
        <w:tc>
          <w:tcPr>
            <w:tcW w:w="5737" w:type="dxa"/>
          </w:tcPr>
          <w:p w14:paraId="43AECCDF" w14:textId="77777777" w:rsidR="00071472" w:rsidRPr="00520419" w:rsidRDefault="00071472" w:rsidP="00243EF0">
            <w:pPr>
              <w:spacing w:after="0" w:line="240" w:lineRule="auto"/>
              <w:rPr>
                <w:rFonts w:cs="Calibri"/>
                <w:u w:val="single"/>
              </w:rPr>
            </w:pPr>
            <w:r w:rsidRPr="00520419">
              <w:t>Sense making burdens e.g. conceptualising problems, understanding and learning about management strategies, knowing when to seek help, differentiating between treatments.</w:t>
            </w:r>
          </w:p>
        </w:tc>
      </w:tr>
    </w:tbl>
    <w:p w14:paraId="3F38EDFF" w14:textId="77777777" w:rsidR="001D2D42" w:rsidRPr="00520419" w:rsidRDefault="001D2D42" w:rsidP="00243EF0">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1"/>
        <w:gridCol w:w="5605"/>
      </w:tblGrid>
      <w:tr w:rsidR="00071472" w:rsidRPr="00520419" w14:paraId="0FF1D61D" w14:textId="77777777" w:rsidTr="00071472">
        <w:tc>
          <w:tcPr>
            <w:tcW w:w="3505" w:type="dxa"/>
          </w:tcPr>
          <w:p w14:paraId="060F1B78" w14:textId="77777777" w:rsidR="00071472" w:rsidRPr="00520419" w:rsidRDefault="00071472" w:rsidP="00071472">
            <w:pPr>
              <w:spacing w:after="0" w:line="240" w:lineRule="auto"/>
              <w:rPr>
                <w:b/>
              </w:rPr>
            </w:pPr>
            <w:r w:rsidRPr="00520419">
              <w:rPr>
                <w:b/>
              </w:rPr>
              <w:t>Exclusion Criteria</w:t>
            </w:r>
          </w:p>
        </w:tc>
        <w:tc>
          <w:tcPr>
            <w:tcW w:w="5737" w:type="dxa"/>
          </w:tcPr>
          <w:p w14:paraId="0C9D772E" w14:textId="77777777" w:rsidR="00071472" w:rsidRPr="00520419" w:rsidRDefault="00071472" w:rsidP="00071472">
            <w:pPr>
              <w:spacing w:after="0" w:line="240" w:lineRule="auto"/>
              <w:rPr>
                <w:b/>
              </w:rPr>
            </w:pPr>
          </w:p>
        </w:tc>
      </w:tr>
      <w:tr w:rsidR="00071472" w:rsidRPr="00520419" w14:paraId="64141372" w14:textId="77777777" w:rsidTr="00071472">
        <w:tc>
          <w:tcPr>
            <w:tcW w:w="3505" w:type="dxa"/>
          </w:tcPr>
          <w:p w14:paraId="4BAFC511" w14:textId="77777777" w:rsidR="00071472" w:rsidRPr="00520419" w:rsidRDefault="00071472" w:rsidP="00071472">
            <w:pPr>
              <w:spacing w:after="0" w:line="240" w:lineRule="auto"/>
              <w:rPr>
                <w:rFonts w:cs="Calibri"/>
              </w:rPr>
            </w:pPr>
            <w:r w:rsidRPr="00520419">
              <w:rPr>
                <w:rFonts w:cs="Calibri"/>
              </w:rPr>
              <w:t>Types of studies</w:t>
            </w:r>
          </w:p>
        </w:tc>
        <w:tc>
          <w:tcPr>
            <w:tcW w:w="5737" w:type="dxa"/>
          </w:tcPr>
          <w:p w14:paraId="3127EF4C" w14:textId="072EE1DB" w:rsidR="00071472" w:rsidRPr="00520419" w:rsidRDefault="00EA4308" w:rsidP="00071472">
            <w:pPr>
              <w:spacing w:after="0" w:line="240" w:lineRule="auto"/>
              <w:rPr>
                <w:rFonts w:cs="Calibri"/>
              </w:rPr>
            </w:pPr>
            <w:r w:rsidRPr="00520419">
              <w:rPr>
                <w:rFonts w:cs="Calibri"/>
              </w:rPr>
              <w:t>Non-English</w:t>
            </w:r>
            <w:r w:rsidR="00071472" w:rsidRPr="00520419">
              <w:rPr>
                <w:rFonts w:cs="Calibri"/>
              </w:rPr>
              <w:t xml:space="preserve"> language.</w:t>
            </w:r>
          </w:p>
        </w:tc>
      </w:tr>
      <w:tr w:rsidR="00071472" w:rsidRPr="00520419" w14:paraId="6E20EE08" w14:textId="77777777" w:rsidTr="00071472">
        <w:tc>
          <w:tcPr>
            <w:tcW w:w="3505" w:type="dxa"/>
          </w:tcPr>
          <w:p w14:paraId="713AD846" w14:textId="77777777" w:rsidR="00071472" w:rsidRPr="00520419" w:rsidRDefault="00071472" w:rsidP="00071472">
            <w:pPr>
              <w:spacing w:after="0" w:line="240" w:lineRule="auto"/>
              <w:rPr>
                <w:rFonts w:cs="Calibri"/>
              </w:rPr>
            </w:pPr>
          </w:p>
        </w:tc>
        <w:tc>
          <w:tcPr>
            <w:tcW w:w="5737" w:type="dxa"/>
          </w:tcPr>
          <w:p w14:paraId="7987E9CA" w14:textId="77777777" w:rsidR="00071472" w:rsidRPr="00520419" w:rsidRDefault="00071472" w:rsidP="00071472">
            <w:pPr>
              <w:spacing w:after="0" w:line="240" w:lineRule="auto"/>
              <w:rPr>
                <w:rFonts w:cs="Calibri"/>
              </w:rPr>
            </w:pPr>
            <w:r w:rsidRPr="00520419">
              <w:rPr>
                <w:rFonts w:cs="Calibri"/>
              </w:rPr>
              <w:t>Published pre 2000.</w:t>
            </w:r>
          </w:p>
        </w:tc>
      </w:tr>
      <w:tr w:rsidR="00071472" w:rsidRPr="00520419" w14:paraId="1BB8B39F" w14:textId="77777777" w:rsidTr="00071472">
        <w:tc>
          <w:tcPr>
            <w:tcW w:w="3505" w:type="dxa"/>
          </w:tcPr>
          <w:p w14:paraId="0058884B" w14:textId="77777777" w:rsidR="00071472" w:rsidRPr="00520419" w:rsidRDefault="00071472" w:rsidP="00071472">
            <w:pPr>
              <w:spacing w:after="0" w:line="240" w:lineRule="auto"/>
              <w:rPr>
                <w:rFonts w:cs="Calibri"/>
              </w:rPr>
            </w:pPr>
          </w:p>
        </w:tc>
        <w:tc>
          <w:tcPr>
            <w:tcW w:w="5737" w:type="dxa"/>
          </w:tcPr>
          <w:p w14:paraId="5F716190" w14:textId="77777777" w:rsidR="00071472" w:rsidRPr="00520419" w:rsidRDefault="00071472" w:rsidP="00071472">
            <w:pPr>
              <w:spacing w:after="0" w:line="240" w:lineRule="auto"/>
              <w:rPr>
                <w:rFonts w:cs="Calibri"/>
              </w:rPr>
            </w:pPr>
            <w:r w:rsidRPr="00520419">
              <w:rPr>
                <w:rFonts w:cs="Calibri"/>
              </w:rPr>
              <w:t>Grey literature / not published in a peer reviewed journal.</w:t>
            </w:r>
          </w:p>
        </w:tc>
      </w:tr>
      <w:tr w:rsidR="00071472" w:rsidRPr="00520419" w14:paraId="3522DD48" w14:textId="77777777" w:rsidTr="00071472">
        <w:tc>
          <w:tcPr>
            <w:tcW w:w="3505" w:type="dxa"/>
          </w:tcPr>
          <w:p w14:paraId="17CFA89D" w14:textId="77777777" w:rsidR="00071472" w:rsidRPr="00520419" w:rsidRDefault="00071472" w:rsidP="00071472">
            <w:pPr>
              <w:spacing w:after="0" w:line="240" w:lineRule="auto"/>
              <w:rPr>
                <w:rFonts w:cs="Calibri"/>
              </w:rPr>
            </w:pPr>
          </w:p>
        </w:tc>
        <w:tc>
          <w:tcPr>
            <w:tcW w:w="5737" w:type="dxa"/>
          </w:tcPr>
          <w:p w14:paraId="14845E50" w14:textId="77777777" w:rsidR="00071472" w:rsidRPr="00520419" w:rsidRDefault="00071472" w:rsidP="00071472">
            <w:pPr>
              <w:spacing w:after="0" w:line="240" w:lineRule="auto"/>
              <w:rPr>
                <w:rFonts w:cs="Calibri"/>
              </w:rPr>
            </w:pPr>
            <w:r w:rsidRPr="00520419">
              <w:rPr>
                <w:rFonts w:cs="Calibri"/>
              </w:rPr>
              <w:t>Dissertations /theses.</w:t>
            </w:r>
          </w:p>
        </w:tc>
      </w:tr>
      <w:tr w:rsidR="00071472" w:rsidRPr="00520419" w14:paraId="0C096E8C" w14:textId="77777777" w:rsidTr="00071472">
        <w:tc>
          <w:tcPr>
            <w:tcW w:w="3505" w:type="dxa"/>
          </w:tcPr>
          <w:p w14:paraId="158FF22B" w14:textId="77777777" w:rsidR="00071472" w:rsidRPr="00520419" w:rsidRDefault="00071472" w:rsidP="00071472">
            <w:pPr>
              <w:spacing w:after="0" w:line="240" w:lineRule="auto"/>
              <w:rPr>
                <w:rFonts w:cs="Calibri"/>
              </w:rPr>
            </w:pPr>
          </w:p>
        </w:tc>
        <w:tc>
          <w:tcPr>
            <w:tcW w:w="5737" w:type="dxa"/>
          </w:tcPr>
          <w:p w14:paraId="4E4A1B62" w14:textId="77777777" w:rsidR="00071472" w:rsidRPr="00520419" w:rsidRDefault="00071472" w:rsidP="00071472">
            <w:pPr>
              <w:spacing w:after="0" w:line="240" w:lineRule="auto"/>
              <w:rPr>
                <w:rFonts w:cs="Calibri"/>
              </w:rPr>
            </w:pPr>
            <w:r w:rsidRPr="00520419">
              <w:rPr>
                <w:rFonts w:cs="Calibri"/>
              </w:rPr>
              <w:t>Proceedings.</w:t>
            </w:r>
          </w:p>
        </w:tc>
      </w:tr>
      <w:tr w:rsidR="00071472" w:rsidRPr="00520419" w14:paraId="5D87A99F" w14:textId="77777777" w:rsidTr="00071472">
        <w:tc>
          <w:tcPr>
            <w:tcW w:w="3505" w:type="dxa"/>
          </w:tcPr>
          <w:p w14:paraId="60E2B292" w14:textId="77777777" w:rsidR="00071472" w:rsidRPr="00520419" w:rsidRDefault="00071472" w:rsidP="00071472">
            <w:pPr>
              <w:spacing w:after="0" w:line="240" w:lineRule="auto"/>
              <w:rPr>
                <w:rFonts w:cs="Calibri"/>
              </w:rPr>
            </w:pPr>
          </w:p>
        </w:tc>
        <w:tc>
          <w:tcPr>
            <w:tcW w:w="5737" w:type="dxa"/>
          </w:tcPr>
          <w:p w14:paraId="73E97057" w14:textId="77777777" w:rsidR="00071472" w:rsidRPr="00520419" w:rsidRDefault="00071472" w:rsidP="00071472">
            <w:pPr>
              <w:spacing w:after="0" w:line="240" w:lineRule="auto"/>
              <w:rPr>
                <w:rFonts w:cs="Calibri"/>
              </w:rPr>
            </w:pPr>
            <w:r w:rsidRPr="00520419">
              <w:rPr>
                <w:rFonts w:cs="Calibri"/>
              </w:rPr>
              <w:t>Published abstracts.</w:t>
            </w:r>
          </w:p>
        </w:tc>
      </w:tr>
      <w:tr w:rsidR="00071472" w:rsidRPr="00520419" w14:paraId="327D52BD" w14:textId="77777777" w:rsidTr="00071472">
        <w:tc>
          <w:tcPr>
            <w:tcW w:w="3505" w:type="dxa"/>
          </w:tcPr>
          <w:p w14:paraId="388327E2" w14:textId="77777777" w:rsidR="00071472" w:rsidRPr="00520419" w:rsidRDefault="00071472" w:rsidP="00071472">
            <w:pPr>
              <w:spacing w:after="0" w:line="240" w:lineRule="auto"/>
              <w:rPr>
                <w:rFonts w:cs="Calibri"/>
              </w:rPr>
            </w:pPr>
          </w:p>
        </w:tc>
        <w:tc>
          <w:tcPr>
            <w:tcW w:w="5737" w:type="dxa"/>
          </w:tcPr>
          <w:p w14:paraId="1A9DCAE4" w14:textId="77777777" w:rsidR="00071472" w:rsidRPr="00520419" w:rsidRDefault="00071472" w:rsidP="00747C3F">
            <w:pPr>
              <w:spacing w:after="0" w:line="240" w:lineRule="auto"/>
              <w:rPr>
                <w:rFonts w:cs="Calibri"/>
              </w:rPr>
            </w:pPr>
            <w:r w:rsidRPr="00520419">
              <w:rPr>
                <w:rFonts w:cs="Calibri"/>
              </w:rPr>
              <w:t>Studies using the following methodologies: Lexical studies that analyse natural language data presented as quantitative results; studies without a sampling procedure; qualitative studies using questionnaires or other methods that do not involve direct contact or observation of participants; studies describing the patient experience in an experimental situation rather than ‘typical’, e.g. during pilot schemes or intervention/experimental trials</w:t>
            </w:r>
            <w:r w:rsidR="00747C3F" w:rsidRPr="00520419">
              <w:rPr>
                <w:rFonts w:cs="Calibri"/>
              </w:rPr>
              <w:t xml:space="preserve">; </w:t>
            </w:r>
            <w:r w:rsidRPr="00520419">
              <w:rPr>
                <w:rFonts w:cs="Calibri"/>
              </w:rPr>
              <w:t>any study where qualitative data not analysed i.e. uninterpreted data</w:t>
            </w:r>
            <w:r w:rsidR="00747C3F" w:rsidRPr="00520419">
              <w:rPr>
                <w:rFonts w:cs="Calibri"/>
              </w:rPr>
              <w:t>;</w:t>
            </w:r>
            <w:r w:rsidRPr="00520419">
              <w:rPr>
                <w:rFonts w:cs="Calibri"/>
              </w:rPr>
              <w:t xml:space="preserve"> c</w:t>
            </w:r>
            <w:r w:rsidR="00747C3F" w:rsidRPr="00520419">
              <w:t>ase report;</w:t>
            </w:r>
            <w:r w:rsidRPr="00520419">
              <w:t xml:space="preserve"> a</w:t>
            </w:r>
            <w:r w:rsidRPr="00520419">
              <w:rPr>
                <w:rFonts w:cs="Calibri"/>
              </w:rPr>
              <w:t>ny review (systematic, narrative, qualitative)</w:t>
            </w:r>
            <w:r w:rsidR="00747C3F" w:rsidRPr="00520419">
              <w:rPr>
                <w:rFonts w:cs="Calibri"/>
              </w:rPr>
              <w:t>;</w:t>
            </w:r>
            <w:r w:rsidRPr="00520419">
              <w:rPr>
                <w:rFonts w:cs="Calibri"/>
              </w:rPr>
              <w:t xml:space="preserve"> a</w:t>
            </w:r>
            <w:r w:rsidR="00747C3F" w:rsidRPr="00520419">
              <w:rPr>
                <w:rFonts w:cs="Calibri"/>
              </w:rPr>
              <w:t>ny quantitative study</w:t>
            </w:r>
            <w:r w:rsidRPr="00520419">
              <w:rPr>
                <w:rFonts w:cs="Calibri"/>
              </w:rPr>
              <w:t xml:space="preserve"> (RCT, non RCT, observational, cohort, case control)</w:t>
            </w:r>
            <w:r w:rsidR="00747C3F" w:rsidRPr="00520419">
              <w:rPr>
                <w:rFonts w:cs="Calibri"/>
              </w:rPr>
              <w:t>.</w:t>
            </w:r>
          </w:p>
        </w:tc>
      </w:tr>
      <w:tr w:rsidR="00071472" w:rsidRPr="00520419" w14:paraId="007B7F02" w14:textId="77777777" w:rsidTr="00071472">
        <w:tc>
          <w:tcPr>
            <w:tcW w:w="3505" w:type="dxa"/>
          </w:tcPr>
          <w:p w14:paraId="0CDBE232" w14:textId="77777777" w:rsidR="00071472" w:rsidRPr="00520419" w:rsidRDefault="00071472" w:rsidP="00071472">
            <w:pPr>
              <w:spacing w:after="0" w:line="240" w:lineRule="auto"/>
              <w:rPr>
                <w:rFonts w:cs="Calibri"/>
              </w:rPr>
            </w:pPr>
          </w:p>
        </w:tc>
        <w:tc>
          <w:tcPr>
            <w:tcW w:w="5737" w:type="dxa"/>
          </w:tcPr>
          <w:p w14:paraId="6A816138" w14:textId="77777777" w:rsidR="00071472" w:rsidRPr="00520419" w:rsidRDefault="00747C3F" w:rsidP="00747C3F">
            <w:pPr>
              <w:spacing w:after="0" w:line="240" w:lineRule="auto"/>
              <w:rPr>
                <w:rFonts w:cs="Calibri"/>
              </w:rPr>
            </w:pPr>
            <w:r w:rsidRPr="00520419">
              <w:rPr>
                <w:rFonts w:cs="Calibri"/>
              </w:rPr>
              <w:t>Treatment guidelines documents.</w:t>
            </w:r>
          </w:p>
        </w:tc>
      </w:tr>
      <w:tr w:rsidR="00071472" w:rsidRPr="00520419" w14:paraId="34C4615D" w14:textId="77777777" w:rsidTr="00071472">
        <w:tc>
          <w:tcPr>
            <w:tcW w:w="3505" w:type="dxa"/>
          </w:tcPr>
          <w:p w14:paraId="1CC42527" w14:textId="77777777" w:rsidR="00071472" w:rsidRPr="00520419" w:rsidRDefault="00071472" w:rsidP="00071472">
            <w:pPr>
              <w:spacing w:after="0" w:line="240" w:lineRule="auto"/>
              <w:rPr>
                <w:rFonts w:cs="Calibri"/>
              </w:rPr>
            </w:pPr>
          </w:p>
        </w:tc>
        <w:tc>
          <w:tcPr>
            <w:tcW w:w="5737" w:type="dxa"/>
          </w:tcPr>
          <w:p w14:paraId="2BD21034" w14:textId="77777777" w:rsidR="00071472" w:rsidRPr="00520419" w:rsidRDefault="00747C3F" w:rsidP="00747C3F">
            <w:pPr>
              <w:spacing w:after="0" w:line="240" w:lineRule="auto"/>
              <w:rPr>
                <w:rFonts w:cs="Calibri"/>
              </w:rPr>
            </w:pPr>
            <w:r w:rsidRPr="00520419">
              <w:rPr>
                <w:rFonts w:cs="Calibri"/>
              </w:rPr>
              <w:t>Commentary articles, written to convey opinion or stimulate research /discussion, with no research component.</w:t>
            </w:r>
          </w:p>
        </w:tc>
      </w:tr>
      <w:tr w:rsidR="00071472" w:rsidRPr="00520419" w14:paraId="3EC79EF3" w14:textId="77777777" w:rsidTr="00071472">
        <w:tc>
          <w:tcPr>
            <w:tcW w:w="3505" w:type="dxa"/>
          </w:tcPr>
          <w:p w14:paraId="6CD7ED09" w14:textId="77777777" w:rsidR="00071472" w:rsidRPr="00520419" w:rsidRDefault="00747C3F" w:rsidP="00071472">
            <w:pPr>
              <w:spacing w:after="0" w:line="240" w:lineRule="auto"/>
              <w:rPr>
                <w:rFonts w:cs="Calibri"/>
              </w:rPr>
            </w:pPr>
            <w:r w:rsidRPr="00520419">
              <w:rPr>
                <w:rFonts w:cs="Calibri"/>
              </w:rPr>
              <w:t>Types of participants</w:t>
            </w:r>
          </w:p>
        </w:tc>
        <w:tc>
          <w:tcPr>
            <w:tcW w:w="5737" w:type="dxa"/>
          </w:tcPr>
          <w:p w14:paraId="32AD55F6" w14:textId="77777777" w:rsidR="00071472" w:rsidRPr="00520419" w:rsidRDefault="00071472" w:rsidP="00747C3F">
            <w:pPr>
              <w:spacing w:after="0" w:line="240" w:lineRule="auto"/>
              <w:rPr>
                <w:rFonts w:cs="Calibri"/>
                <w:color w:val="000000"/>
              </w:rPr>
            </w:pPr>
            <w:r w:rsidRPr="00520419">
              <w:rPr>
                <w:rFonts w:cs="Calibri"/>
              </w:rPr>
              <w:t>Children (&lt;18 yrs).</w:t>
            </w:r>
          </w:p>
        </w:tc>
      </w:tr>
      <w:tr w:rsidR="00747C3F" w:rsidRPr="00520419" w14:paraId="177FCEE3" w14:textId="77777777" w:rsidTr="00831A1F">
        <w:tc>
          <w:tcPr>
            <w:tcW w:w="3505" w:type="dxa"/>
          </w:tcPr>
          <w:p w14:paraId="0B29AF4A" w14:textId="77777777" w:rsidR="00747C3F" w:rsidRPr="00520419" w:rsidRDefault="00747C3F" w:rsidP="00831A1F">
            <w:pPr>
              <w:spacing w:after="0" w:line="240" w:lineRule="auto"/>
              <w:rPr>
                <w:rFonts w:cs="Calibri"/>
              </w:rPr>
            </w:pPr>
          </w:p>
        </w:tc>
        <w:tc>
          <w:tcPr>
            <w:tcW w:w="5737" w:type="dxa"/>
          </w:tcPr>
          <w:p w14:paraId="593669A5" w14:textId="77777777" w:rsidR="00747C3F" w:rsidRPr="00520419" w:rsidRDefault="00747C3F" w:rsidP="00747C3F">
            <w:pPr>
              <w:spacing w:after="0" w:line="240" w:lineRule="auto"/>
              <w:rPr>
                <w:rFonts w:cs="Calibri"/>
                <w:color w:val="000000"/>
              </w:rPr>
            </w:pPr>
            <w:r w:rsidRPr="00520419">
              <w:rPr>
                <w:rFonts w:cs="Calibri"/>
              </w:rPr>
              <w:t xml:space="preserve">No CVA diagnosis. </w:t>
            </w:r>
          </w:p>
        </w:tc>
      </w:tr>
      <w:tr w:rsidR="00747C3F" w:rsidRPr="00520419" w14:paraId="0DD08353" w14:textId="77777777" w:rsidTr="00831A1F">
        <w:tc>
          <w:tcPr>
            <w:tcW w:w="3505" w:type="dxa"/>
          </w:tcPr>
          <w:p w14:paraId="1D309C2E" w14:textId="77777777" w:rsidR="00747C3F" w:rsidRPr="00520419" w:rsidRDefault="00747C3F" w:rsidP="00831A1F">
            <w:pPr>
              <w:spacing w:after="0" w:line="240" w:lineRule="auto"/>
              <w:rPr>
                <w:rFonts w:cs="Calibri"/>
              </w:rPr>
            </w:pPr>
          </w:p>
        </w:tc>
        <w:tc>
          <w:tcPr>
            <w:tcW w:w="5737" w:type="dxa"/>
          </w:tcPr>
          <w:p w14:paraId="6CE44FA6" w14:textId="77777777" w:rsidR="00747C3F" w:rsidRPr="00520419" w:rsidRDefault="00747C3F" w:rsidP="00747C3F">
            <w:pPr>
              <w:spacing w:after="0" w:line="240" w:lineRule="auto"/>
              <w:rPr>
                <w:rFonts w:cs="Calibri"/>
                <w:color w:val="000000"/>
              </w:rPr>
            </w:pPr>
            <w:r w:rsidRPr="00520419">
              <w:rPr>
                <w:rFonts w:cs="Calibri"/>
              </w:rPr>
              <w:t xml:space="preserve">Diagnosis of TIA, </w:t>
            </w:r>
            <w:r w:rsidRPr="00520419">
              <w:rPr>
                <w:rFonts w:cs="Calibri"/>
                <w:color w:val="000000"/>
              </w:rPr>
              <w:t xml:space="preserve">subdural haematomas, infarction /  haemorrhage due to infection or tumour, </w:t>
            </w:r>
            <w:r w:rsidRPr="00520419">
              <w:rPr>
                <w:rFonts w:cs="Calibri"/>
              </w:rPr>
              <w:t>cerebral palsy or any other neurological deficit.</w:t>
            </w:r>
          </w:p>
        </w:tc>
      </w:tr>
      <w:tr w:rsidR="00747C3F" w:rsidRPr="00520419" w14:paraId="60866B3B" w14:textId="77777777" w:rsidTr="00831A1F">
        <w:tc>
          <w:tcPr>
            <w:tcW w:w="3505" w:type="dxa"/>
          </w:tcPr>
          <w:p w14:paraId="134ACFE9" w14:textId="77777777" w:rsidR="00747C3F" w:rsidRPr="00520419" w:rsidRDefault="00747C3F" w:rsidP="00831A1F">
            <w:pPr>
              <w:spacing w:after="0" w:line="240" w:lineRule="auto"/>
              <w:rPr>
                <w:rFonts w:cs="Calibri"/>
              </w:rPr>
            </w:pPr>
          </w:p>
        </w:tc>
        <w:tc>
          <w:tcPr>
            <w:tcW w:w="5737" w:type="dxa"/>
          </w:tcPr>
          <w:p w14:paraId="3816DF6F" w14:textId="77777777" w:rsidR="00747C3F" w:rsidRPr="00520419" w:rsidRDefault="00747C3F" w:rsidP="00747C3F">
            <w:pPr>
              <w:spacing w:after="0" w:line="240" w:lineRule="auto"/>
              <w:rPr>
                <w:rFonts w:cs="Calibri"/>
              </w:rPr>
            </w:pPr>
            <w:r w:rsidRPr="00520419">
              <w:rPr>
                <w:rFonts w:cs="Calibri"/>
              </w:rPr>
              <w:t>Mixed groups of participants e.g. patients and carers or health care providers, unless results from patients are explicitly separate from other participants.</w:t>
            </w:r>
          </w:p>
        </w:tc>
      </w:tr>
      <w:tr w:rsidR="00071472" w:rsidRPr="00520419" w14:paraId="126C3DD6" w14:textId="77777777" w:rsidTr="00071472">
        <w:tc>
          <w:tcPr>
            <w:tcW w:w="3505" w:type="dxa"/>
          </w:tcPr>
          <w:p w14:paraId="1FCCA255" w14:textId="77777777" w:rsidR="00747C3F" w:rsidRPr="00520419" w:rsidRDefault="00747C3F" w:rsidP="00747C3F">
            <w:pPr>
              <w:spacing w:after="0" w:line="240" w:lineRule="auto"/>
              <w:rPr>
                <w:rFonts w:cs="Calibri"/>
              </w:rPr>
            </w:pPr>
            <w:r w:rsidRPr="00520419">
              <w:rPr>
                <w:rFonts w:cs="Calibri"/>
              </w:rPr>
              <w:t xml:space="preserve">Types of outcome measures </w:t>
            </w:r>
          </w:p>
          <w:p w14:paraId="087C5FF0" w14:textId="77777777" w:rsidR="00071472" w:rsidRPr="00520419" w:rsidRDefault="00071472" w:rsidP="00071472">
            <w:pPr>
              <w:spacing w:after="0" w:line="240" w:lineRule="auto"/>
              <w:rPr>
                <w:rFonts w:cs="Calibri"/>
                <w:u w:val="single"/>
              </w:rPr>
            </w:pPr>
          </w:p>
        </w:tc>
        <w:tc>
          <w:tcPr>
            <w:tcW w:w="5737" w:type="dxa"/>
          </w:tcPr>
          <w:p w14:paraId="2679317D" w14:textId="77777777" w:rsidR="00071472" w:rsidRPr="00520419" w:rsidRDefault="00071472" w:rsidP="00747C3F">
            <w:pPr>
              <w:spacing w:after="0" w:line="240" w:lineRule="auto"/>
              <w:rPr>
                <w:rFonts w:cs="Calibri"/>
              </w:rPr>
            </w:pPr>
            <w:r w:rsidRPr="00520419">
              <w:rPr>
                <w:rFonts w:cs="Calibri"/>
              </w:rPr>
              <w:t>Anyone other than the patient’s perspective of patient work e.g. health professionals.</w:t>
            </w:r>
          </w:p>
        </w:tc>
      </w:tr>
      <w:tr w:rsidR="00747C3F" w:rsidRPr="00520419" w14:paraId="16ECE44F" w14:textId="77777777" w:rsidTr="00831A1F">
        <w:tc>
          <w:tcPr>
            <w:tcW w:w="3505" w:type="dxa"/>
          </w:tcPr>
          <w:p w14:paraId="5D8D01C6" w14:textId="77777777" w:rsidR="00747C3F" w:rsidRPr="00520419" w:rsidRDefault="00747C3F" w:rsidP="00831A1F">
            <w:pPr>
              <w:spacing w:after="0" w:line="240" w:lineRule="auto"/>
              <w:rPr>
                <w:rFonts w:cs="Calibri"/>
              </w:rPr>
            </w:pPr>
          </w:p>
        </w:tc>
        <w:tc>
          <w:tcPr>
            <w:tcW w:w="5737" w:type="dxa"/>
          </w:tcPr>
          <w:p w14:paraId="0589EA44" w14:textId="77777777" w:rsidR="00747C3F" w:rsidRPr="00520419" w:rsidRDefault="00747C3F" w:rsidP="00747C3F">
            <w:pPr>
              <w:spacing w:after="0" w:line="240" w:lineRule="auto"/>
              <w:rPr>
                <w:rFonts w:cs="Calibri"/>
              </w:rPr>
            </w:pPr>
            <w:r w:rsidRPr="00520419">
              <w:rPr>
                <w:rFonts w:cs="Calibri"/>
              </w:rPr>
              <w:t>Burden on health services / systems or health professionals.</w:t>
            </w:r>
          </w:p>
        </w:tc>
      </w:tr>
      <w:tr w:rsidR="00747C3F" w:rsidRPr="00520419" w14:paraId="6A17D56D" w14:textId="77777777" w:rsidTr="00831A1F">
        <w:tc>
          <w:tcPr>
            <w:tcW w:w="3505" w:type="dxa"/>
          </w:tcPr>
          <w:p w14:paraId="18FF679E" w14:textId="77777777" w:rsidR="00747C3F" w:rsidRPr="00520419" w:rsidRDefault="00747C3F" w:rsidP="00831A1F">
            <w:pPr>
              <w:spacing w:after="0" w:line="240" w:lineRule="auto"/>
              <w:rPr>
                <w:rFonts w:cs="Calibri"/>
              </w:rPr>
            </w:pPr>
          </w:p>
        </w:tc>
        <w:tc>
          <w:tcPr>
            <w:tcW w:w="5737" w:type="dxa"/>
          </w:tcPr>
          <w:p w14:paraId="1936E5BA" w14:textId="77777777" w:rsidR="00747C3F" w:rsidRPr="00520419" w:rsidRDefault="00747C3F" w:rsidP="00747C3F">
            <w:pPr>
              <w:spacing w:after="0" w:line="240" w:lineRule="auto"/>
              <w:rPr>
                <w:rFonts w:cs="Calibri"/>
              </w:rPr>
            </w:pPr>
            <w:r w:rsidRPr="00520419">
              <w:rPr>
                <w:rFonts w:cs="Calibri"/>
              </w:rPr>
              <w:t>Economic burden at a society level e.g. costs to government or councils.</w:t>
            </w:r>
          </w:p>
        </w:tc>
      </w:tr>
      <w:tr w:rsidR="00747C3F" w:rsidRPr="00520419" w14:paraId="1CDA1EE1" w14:textId="77777777" w:rsidTr="00831A1F">
        <w:tc>
          <w:tcPr>
            <w:tcW w:w="3505" w:type="dxa"/>
          </w:tcPr>
          <w:p w14:paraId="2F63B407" w14:textId="77777777" w:rsidR="00747C3F" w:rsidRPr="00520419" w:rsidRDefault="00747C3F" w:rsidP="00831A1F">
            <w:pPr>
              <w:spacing w:after="0" w:line="240" w:lineRule="auto"/>
              <w:rPr>
                <w:rFonts w:cs="Calibri"/>
              </w:rPr>
            </w:pPr>
          </w:p>
        </w:tc>
        <w:tc>
          <w:tcPr>
            <w:tcW w:w="5737" w:type="dxa"/>
          </w:tcPr>
          <w:p w14:paraId="1EFE4CEF" w14:textId="77777777" w:rsidR="00747C3F" w:rsidRPr="00520419" w:rsidRDefault="00747C3F" w:rsidP="00747C3F">
            <w:pPr>
              <w:spacing w:after="0" w:line="240" w:lineRule="auto"/>
              <w:rPr>
                <w:rFonts w:cs="Calibri"/>
              </w:rPr>
            </w:pPr>
            <w:r w:rsidRPr="00520419">
              <w:rPr>
                <w:rFonts w:cs="Calibri"/>
              </w:rPr>
              <w:t>Carer work or burden.</w:t>
            </w:r>
          </w:p>
        </w:tc>
      </w:tr>
      <w:tr w:rsidR="00747C3F" w:rsidRPr="00065DE4" w14:paraId="4C791167" w14:textId="77777777" w:rsidTr="00071472">
        <w:tc>
          <w:tcPr>
            <w:tcW w:w="3505" w:type="dxa"/>
          </w:tcPr>
          <w:p w14:paraId="76DF5E19" w14:textId="77777777" w:rsidR="00747C3F" w:rsidRPr="00520419" w:rsidRDefault="00747C3F" w:rsidP="00747C3F">
            <w:pPr>
              <w:spacing w:after="0" w:line="240" w:lineRule="auto"/>
              <w:rPr>
                <w:rFonts w:cs="Calibri"/>
              </w:rPr>
            </w:pPr>
          </w:p>
        </w:tc>
        <w:tc>
          <w:tcPr>
            <w:tcW w:w="5737" w:type="dxa"/>
          </w:tcPr>
          <w:p w14:paraId="7229E668" w14:textId="77777777" w:rsidR="00747C3F" w:rsidRPr="00065DE4" w:rsidRDefault="00747C3F" w:rsidP="00747C3F">
            <w:pPr>
              <w:spacing w:after="0" w:line="240" w:lineRule="auto"/>
              <w:rPr>
                <w:rFonts w:cs="Calibri"/>
              </w:rPr>
            </w:pPr>
            <w:r w:rsidRPr="00520419">
              <w:rPr>
                <w:rFonts w:cs="Calibri"/>
              </w:rPr>
              <w:t>Standardized, patient-reported measures of treatment burden or illness burden / activities of daily living / quality of life / functional capacity.</w:t>
            </w:r>
          </w:p>
        </w:tc>
      </w:tr>
    </w:tbl>
    <w:p w14:paraId="5B9D6C5D" w14:textId="77777777" w:rsidR="00071472" w:rsidRPr="00065DE4" w:rsidRDefault="00071472" w:rsidP="00243EF0">
      <w:pPr>
        <w:spacing w:after="0" w:line="240" w:lineRule="auto"/>
      </w:pPr>
    </w:p>
    <w:sectPr w:rsidR="00071472" w:rsidRPr="00065DE4" w:rsidSect="007D7616">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C604E"/>
    <w:multiLevelType w:val="hybridMultilevel"/>
    <w:tmpl w:val="9C2234EC"/>
    <w:lvl w:ilvl="0" w:tplc="A008E74C">
      <w:start w:val="21"/>
      <w:numFmt w:val="bullet"/>
      <w:lvlText w:val="-"/>
      <w:lvlJc w:val="left"/>
      <w:pPr>
        <w:tabs>
          <w:tab w:val="num" w:pos="720"/>
        </w:tabs>
        <w:ind w:left="720" w:hanging="360"/>
      </w:pPr>
      <w:rPr>
        <w:rFonts w:ascii="Times New Roman" w:eastAsia="SimSun" w:hAnsi="Times New Roman" w:cs="Times New Roman"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ABF5884"/>
    <w:multiLevelType w:val="hybridMultilevel"/>
    <w:tmpl w:val="275A0886"/>
    <w:lvl w:ilvl="0" w:tplc="A008E74C">
      <w:start w:val="21"/>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F572AEA"/>
    <w:multiLevelType w:val="hybridMultilevel"/>
    <w:tmpl w:val="260E53C2"/>
    <w:lvl w:ilvl="0" w:tplc="EC4A74CA">
      <w:start w:val="20"/>
      <w:numFmt w:val="bullet"/>
      <w:lvlText w:val="-"/>
      <w:lvlJc w:val="left"/>
      <w:pPr>
        <w:tabs>
          <w:tab w:val="num" w:pos="284"/>
        </w:tabs>
        <w:ind w:left="284" w:hanging="284"/>
      </w:pPr>
      <w:rPr>
        <w:rFonts w:ascii="Arial" w:eastAsia="Times New Roman" w:hAnsi="Arial"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4996C27"/>
    <w:multiLevelType w:val="hybridMultilevel"/>
    <w:tmpl w:val="BEE4C3C0"/>
    <w:lvl w:ilvl="0" w:tplc="EC4A74CA">
      <w:start w:val="20"/>
      <w:numFmt w:val="bullet"/>
      <w:lvlText w:val="-"/>
      <w:lvlJc w:val="left"/>
      <w:pPr>
        <w:tabs>
          <w:tab w:val="num" w:pos="284"/>
        </w:tabs>
        <w:ind w:left="284" w:hanging="284"/>
      </w:pPr>
      <w:rPr>
        <w:rFonts w:ascii="Arial" w:eastAsia="Times New Roman"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7823EA6"/>
    <w:multiLevelType w:val="hybridMultilevel"/>
    <w:tmpl w:val="CB343D5A"/>
    <w:lvl w:ilvl="0" w:tplc="A008E74C">
      <w:start w:val="21"/>
      <w:numFmt w:val="bullet"/>
      <w:lvlText w:val="-"/>
      <w:lvlJc w:val="left"/>
      <w:pPr>
        <w:tabs>
          <w:tab w:val="num" w:pos="720"/>
        </w:tabs>
        <w:ind w:left="720" w:hanging="360"/>
      </w:pPr>
      <w:rPr>
        <w:rFonts w:ascii="Times New Roman" w:eastAsia="SimSun" w:hAnsi="Times New Roman"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A008E74C">
      <w:start w:val="21"/>
      <w:numFmt w:val="bullet"/>
      <w:lvlText w:val="-"/>
      <w:lvlJc w:val="left"/>
      <w:pPr>
        <w:tabs>
          <w:tab w:val="num" w:pos="2160"/>
        </w:tabs>
        <w:ind w:left="2160" w:hanging="360"/>
      </w:pPr>
      <w:rPr>
        <w:rFonts w:ascii="Times New Roman" w:eastAsia="SimSun" w:hAnsi="Times New Roman" w:cs="Times New Roman"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F2D6974"/>
    <w:multiLevelType w:val="hybridMultilevel"/>
    <w:tmpl w:val="B186CF76"/>
    <w:lvl w:ilvl="0" w:tplc="A008E74C">
      <w:start w:val="21"/>
      <w:numFmt w:val="bullet"/>
      <w:lvlText w:val="-"/>
      <w:lvlJc w:val="left"/>
      <w:pPr>
        <w:tabs>
          <w:tab w:val="num" w:pos="720"/>
        </w:tabs>
        <w:ind w:left="720" w:hanging="360"/>
      </w:pPr>
      <w:rPr>
        <w:rFonts w:ascii="Times New Roman" w:eastAsia="SimSu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8"/>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536"/>
    <w:rsid w:val="00003536"/>
    <w:rsid w:val="00065DE4"/>
    <w:rsid w:val="00071472"/>
    <w:rsid w:val="000C4AE9"/>
    <w:rsid w:val="000D1DFA"/>
    <w:rsid w:val="00113D5E"/>
    <w:rsid w:val="001D2D42"/>
    <w:rsid w:val="00243EF0"/>
    <w:rsid w:val="00295BB0"/>
    <w:rsid w:val="003D73AC"/>
    <w:rsid w:val="004606A2"/>
    <w:rsid w:val="00501E89"/>
    <w:rsid w:val="00520419"/>
    <w:rsid w:val="00574A46"/>
    <w:rsid w:val="005D57C8"/>
    <w:rsid w:val="006A083C"/>
    <w:rsid w:val="00747C3F"/>
    <w:rsid w:val="00784FE5"/>
    <w:rsid w:val="007D7616"/>
    <w:rsid w:val="008248E8"/>
    <w:rsid w:val="00831A1F"/>
    <w:rsid w:val="00A13D8B"/>
    <w:rsid w:val="00A25E17"/>
    <w:rsid w:val="00AB2214"/>
    <w:rsid w:val="00C42F2E"/>
    <w:rsid w:val="00D8123E"/>
    <w:rsid w:val="00D9544D"/>
    <w:rsid w:val="00EA4308"/>
    <w:rsid w:val="00F9429F"/>
    <w:rsid w:val="00FA56F0"/>
    <w:rsid w:val="00FD5CEB"/>
    <w:rsid w:val="00FE3BE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B48721"/>
  <w15:chartTrackingRefBased/>
  <w15:docId w15:val="{10E9BB28-BB71-4B19-BFCE-EE5C7E5EF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3536"/>
    <w:pPr>
      <w:spacing w:after="200" w:line="276" w:lineRule="auto"/>
    </w:pPr>
    <w:rPr>
      <w:rFonts w:ascii="Calibri" w:eastAsia="Times New Roman" w:hAnsi="Calibri"/>
      <w:sz w:val="22"/>
      <w:szCs w:val="22"/>
      <w:lang w:val="en-GB" w:eastAsia="en-US" w:bidi="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C42F2E"/>
    <w:pPr>
      <w:spacing w:before="100" w:beforeAutospacing="1" w:after="100" w:afterAutospacing="1" w:line="240" w:lineRule="auto"/>
    </w:pPr>
    <w:rPr>
      <w:rFonts w:ascii="Times New Roman" w:eastAsia="SimSun" w:hAnsi="Times New Roman"/>
      <w:sz w:val="24"/>
      <w:szCs w:val="24"/>
      <w:lang w:eastAsia="zh-CN" w:bidi="ar-SA"/>
    </w:rPr>
  </w:style>
  <w:style w:type="table" w:styleId="TableGrid">
    <w:name w:val="Table Grid"/>
    <w:basedOn w:val="TableNormal"/>
    <w:rsid w:val="000714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D1D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0D1DFA"/>
    <w:rPr>
      <w:rFonts w:ascii="Segoe UI" w:eastAsia="Times New Roman" w:hAnsi="Segoe UI" w:cs="Segoe UI"/>
      <w:sz w:val="18"/>
      <w:szCs w:val="18"/>
      <w:lang w:val="en-GB"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617</Words>
  <Characters>3523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Table 1 - Inclusion and Exclusion Criteria for Papers</vt:lpstr>
    </vt:vector>
  </TitlesOfParts>
  <Company>University of Glasgow</Company>
  <LinksUpToDate>false</LinksUpToDate>
  <CharactersWithSpaces>4132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1 - Inclusion and Exclusion Criteria for Papers</dc:title>
  <dc:subject/>
  <dc:creator>Katie</dc:creator>
  <cp:keywords/>
  <cp:lastModifiedBy>Yensen, Jack</cp:lastModifiedBy>
  <cp:revision>4</cp:revision>
  <dcterms:created xsi:type="dcterms:W3CDTF">2019-06-07T14:57:00Z</dcterms:created>
  <dcterms:modified xsi:type="dcterms:W3CDTF">2019-06-07T15:21:00Z</dcterms:modified>
</cp:coreProperties>
</file>