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6.7.6 Asunto 4 sobre consumidores: servicios de atención al cliente, apoyo y resolución de quejas y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controversias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6.7.6.1 Descripción del asunto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servicios de atención al cliente, apoyo y resolución de quejas y controversias son mecanismos que una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utiliza para abordar las necesidades de los consumidores después de la venta de los productos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 la prestación de los servicios. Dichos mecanismos incluyen una instalación adecuada, certificados de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garantía, garantías, apoyo técnico acerca del uso, así como disposiciones relacionadas con la devolución, la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reparación y el mantenimiento.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productos y servicios que no ofrecen un desempeño satisfactorio, ya sea por desperfectos o fallos, o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como resultado de un mal uso, podrían acarrear una violación de los derechos de los consumidores, así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como pérdida de dinero, recursos y tiempo.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proveedores de productos y servicios pueden aumentar la satisfacción del consumidor y disminuir el nivel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quejas, ofreciendo productos y servicios de gran calidad. Deberían proporcionar asesoramiento claro a los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consumidores respecto del uso adecuado y de los recursos o soluciones ante un mal desempeño. También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pueden hacer seguimiento de la eficacia de sus servicios de postventa, apoyo y de sus procedimientos de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resolución de controversias mediante encuestas a sus usuarios </w:t>
      </w:r>
      <w:r>
        <w:rPr>
          <w:rFonts w:ascii="Arial" w:hAnsi="Arial" w:cs="Arial"/>
          <w:sz w:val="13"/>
          <w:szCs w:val="13"/>
          <w:lang w:val="es-EC"/>
        </w:rPr>
        <w:t>[124] [127]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6.7.6.2 Acciones y expectativas relacionadas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debería: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 xml:space="preserve">tomar medidas para prevenir quejas </w:t>
      </w:r>
      <w:r>
        <w:rPr>
          <w:rFonts w:ascii="Arial" w:hAnsi="Arial" w:cs="Arial"/>
          <w:sz w:val="13"/>
          <w:szCs w:val="13"/>
          <w:lang w:val="es-EC"/>
        </w:rPr>
        <w:t>[4]</w:t>
      </w:r>
      <w:r>
        <w:rPr>
          <w:rFonts w:ascii="Arial" w:hAnsi="Arial" w:cs="Arial"/>
          <w:sz w:val="20"/>
          <w:szCs w:val="20"/>
          <w:lang w:val="es-EC"/>
        </w:rPr>
        <w:t>, ofreciendo a los consumidores, incluidos aquellos que adquieren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productos por ventas a distancia, la opción de devolver los productos dentro de un período específico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tiempo u obtener otras soluciones adecuadas;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analizar las quejas y mejorar las prácticas para responder a las quejas;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ofrecer certificados de garantía que excedan los períodos de garantía otorgados por ley y que sean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idóneos para la duración esperada de la vida útil del producto, cuando sea adecuado;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informar de manera clara a los consumidores acerca de la forma en que pueden acceder a servicios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postventa y apoyo, así como de los mecanismos de resolución de controversias y compensación </w:t>
      </w:r>
      <w:r>
        <w:rPr>
          <w:rFonts w:ascii="Arial" w:hAnsi="Arial" w:cs="Arial"/>
          <w:sz w:val="13"/>
          <w:szCs w:val="13"/>
          <w:lang w:val="es-EC"/>
        </w:rPr>
        <w:t>[5] [6]</w:t>
      </w:r>
      <w:r>
        <w:rPr>
          <w:rFonts w:ascii="Arial" w:hAnsi="Arial" w:cs="Arial"/>
          <w:sz w:val="20"/>
          <w:szCs w:val="20"/>
          <w:lang w:val="es-EC"/>
        </w:rPr>
        <w:t>;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ofrecer sistemas adecuados y eficientes de apoyo y asesoramiento;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ofrecer mantenimiento y reparación a un precio razonable y en localizaciones accesibles y proporcionar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información adecuada sobre el plazo previsto para la disponibilidad de los repuestos de los productos; y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hacer uso de procedimientos alternativos de resolución de controversias y conflictos y de compensación,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basados en normas nacionales o internacionales, que no tengan costo o que tengan un costo mínimo</w:t>
      </w:r>
    </w:p>
    <w:p w:rsidR="00B35291" w:rsidRDefault="00B35291" w:rsidP="00B3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para los consumidores </w:t>
      </w:r>
      <w:r>
        <w:rPr>
          <w:rFonts w:ascii="Arial" w:hAnsi="Arial" w:cs="Arial"/>
          <w:sz w:val="13"/>
          <w:szCs w:val="13"/>
          <w:lang w:val="es-EC"/>
        </w:rPr>
        <w:t>[5] [6]</w:t>
      </w:r>
      <w:r>
        <w:rPr>
          <w:rFonts w:ascii="Arial" w:hAnsi="Arial" w:cs="Arial"/>
          <w:sz w:val="20"/>
          <w:szCs w:val="20"/>
          <w:lang w:val="es-EC"/>
        </w:rPr>
        <w:t>, y que no requieran que los consumidores renuncien a su derecho de</w:t>
      </w:r>
    </w:p>
    <w:p w:rsidR="006E221B" w:rsidRDefault="00B35291" w:rsidP="00B35291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entablar recursos legales.</w:t>
      </w:r>
    </w:p>
    <w:p w:rsidR="00B35291" w:rsidRDefault="00B35291" w:rsidP="00B35291">
      <w:r w:rsidRPr="00B35291">
        <w:lastRenderedPageBreak/>
        <w:drawing>
          <wp:inline distT="0" distB="0" distL="0" distR="0" wp14:anchorId="0725D7ED" wp14:editId="17F29C83">
            <wp:extent cx="5540220" cy="32768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3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91"/>
    <w:rsid w:val="006E221B"/>
    <w:rsid w:val="00B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6D109F"/>
  <w15:chartTrackingRefBased/>
  <w15:docId w15:val="{FBD01047-7DD5-4F62-9798-E00D314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2020-11-11T00:06:00Z</dcterms:created>
  <dcterms:modified xsi:type="dcterms:W3CDTF">2020-11-11T00:07:00Z</dcterms:modified>
</cp:coreProperties>
</file>