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B0F08" w14:textId="457EB4E5" w:rsidR="00E34A4B" w:rsidRPr="0004513F" w:rsidRDefault="0004513F" w:rsidP="0004513F">
      <w:pPr>
        <w:jc w:val="center"/>
        <w:rPr>
          <w:rFonts w:ascii="Verdana" w:hAnsi="Verdana"/>
          <w:b/>
          <w:bCs/>
          <w:i/>
          <w:iCs/>
          <w:sz w:val="36"/>
          <w:szCs w:val="36"/>
        </w:rPr>
      </w:pPr>
      <w:r w:rsidRPr="0004513F">
        <w:rPr>
          <w:rFonts w:ascii="Verdana" w:hAnsi="Verdana"/>
          <w:b/>
          <w:bCs/>
          <w:i/>
          <w:iCs/>
          <w:sz w:val="36"/>
          <w:szCs w:val="36"/>
        </w:rPr>
        <w:t>MIRAS</w:t>
      </w:r>
    </w:p>
    <w:p w14:paraId="1DC1D0BB" w14:textId="0A36FD33" w:rsidR="00E34A4B" w:rsidRPr="00416996" w:rsidRDefault="00E34A4B" w:rsidP="00E34A4B">
      <w:pPr>
        <w:rPr>
          <w:rFonts w:ascii="Verdana" w:hAnsi="Verdana"/>
        </w:rPr>
      </w:pPr>
      <w:r w:rsidRPr="00416996">
        <w:rPr>
          <w:rFonts w:ascii="Verdana" w:hAnsi="Verdana"/>
        </w:rPr>
        <w:t xml:space="preserve">Las miras se emplean en los sistemas clásicos de medición de distancias por método </w:t>
      </w:r>
      <w:r w:rsidR="002A7179" w:rsidRPr="00416996">
        <w:rPr>
          <w:rFonts w:ascii="Verdana" w:hAnsi="Verdana"/>
        </w:rPr>
        <w:t>directo y</w:t>
      </w:r>
      <w:r w:rsidRPr="00416996">
        <w:rPr>
          <w:rFonts w:ascii="Verdana" w:hAnsi="Verdana"/>
        </w:rPr>
        <w:t xml:space="preserve"> para calcular los </w:t>
      </w:r>
      <w:r w:rsidR="002A7179" w:rsidRPr="00416996">
        <w:rPr>
          <w:rFonts w:ascii="Verdana" w:hAnsi="Verdana"/>
        </w:rPr>
        <w:t>desniveles son</w:t>
      </w:r>
      <w:r w:rsidRPr="00416996">
        <w:rPr>
          <w:rFonts w:ascii="Verdana" w:hAnsi="Verdana"/>
        </w:rPr>
        <w:t xml:space="preserve"> reglas graduales que </w:t>
      </w:r>
      <w:r w:rsidR="002A7179" w:rsidRPr="00416996">
        <w:rPr>
          <w:rFonts w:ascii="Verdana" w:hAnsi="Verdana"/>
        </w:rPr>
        <w:t>suelen ir</w:t>
      </w:r>
      <w:r w:rsidRPr="00416996">
        <w:rPr>
          <w:rFonts w:ascii="Verdana" w:hAnsi="Verdana"/>
        </w:rPr>
        <w:t xml:space="preserve"> </w:t>
      </w:r>
      <w:r w:rsidR="002A7179" w:rsidRPr="00416996">
        <w:rPr>
          <w:rFonts w:ascii="Verdana" w:hAnsi="Verdana"/>
        </w:rPr>
        <w:t>divididas en</w:t>
      </w:r>
      <w:r w:rsidRPr="00416996">
        <w:rPr>
          <w:rFonts w:ascii="Verdana" w:hAnsi="Verdana"/>
        </w:rPr>
        <w:t xml:space="preserve"> metros, decímetros y centímetros y en algunos casos hasta en </w:t>
      </w:r>
      <w:r w:rsidR="002A7179" w:rsidRPr="00416996">
        <w:rPr>
          <w:rFonts w:ascii="Verdana" w:hAnsi="Verdana"/>
        </w:rPr>
        <w:t>milímetros o</w:t>
      </w:r>
      <w:r w:rsidRPr="00416996">
        <w:rPr>
          <w:rFonts w:ascii="Verdana" w:hAnsi="Verdana"/>
        </w:rPr>
        <w:t xml:space="preserve"> doble milímetro   su </w:t>
      </w:r>
      <w:r w:rsidR="002A7179" w:rsidRPr="00416996">
        <w:rPr>
          <w:rFonts w:ascii="Verdana" w:hAnsi="Verdana"/>
        </w:rPr>
        <w:t>longitud</w:t>
      </w:r>
      <w:r w:rsidRPr="00416996">
        <w:rPr>
          <w:rFonts w:ascii="Verdana" w:hAnsi="Verdana"/>
        </w:rPr>
        <w:t xml:space="preserve"> normal es de cuatro </w:t>
      </w:r>
      <w:r w:rsidR="002A7179" w:rsidRPr="00416996">
        <w:rPr>
          <w:rFonts w:ascii="Verdana" w:hAnsi="Verdana"/>
        </w:rPr>
        <w:t>metros,</w:t>
      </w:r>
      <w:r w:rsidRPr="00416996">
        <w:rPr>
          <w:rFonts w:ascii="Verdana" w:hAnsi="Verdana"/>
        </w:rPr>
        <w:t xml:space="preserve"> pueden </w:t>
      </w:r>
      <w:r w:rsidR="002A7179" w:rsidRPr="00416996">
        <w:rPr>
          <w:rFonts w:ascii="Verdana" w:hAnsi="Verdana"/>
        </w:rPr>
        <w:t>ser telescópicas</w:t>
      </w:r>
      <w:r w:rsidRPr="00416996">
        <w:rPr>
          <w:rFonts w:ascii="Verdana" w:hAnsi="Verdana"/>
        </w:rPr>
        <w:t xml:space="preserve"> o dividirse en tramos.</w:t>
      </w:r>
    </w:p>
    <w:p w14:paraId="42D7581D" w14:textId="0DB044AD" w:rsidR="00E34A4B" w:rsidRPr="00416996" w:rsidRDefault="00E34A4B" w:rsidP="00E34A4B">
      <w:pPr>
        <w:rPr>
          <w:rFonts w:ascii="Verdana" w:hAnsi="Verdana"/>
        </w:rPr>
      </w:pPr>
      <w:r w:rsidRPr="00416996">
        <w:rPr>
          <w:rFonts w:ascii="Verdana" w:hAnsi="Verdana"/>
        </w:rPr>
        <w:t xml:space="preserve">La lectura de miras se </w:t>
      </w:r>
      <w:r w:rsidR="002A7179" w:rsidRPr="00416996">
        <w:rPr>
          <w:rFonts w:ascii="Verdana" w:hAnsi="Verdana"/>
        </w:rPr>
        <w:t>realizaran</w:t>
      </w:r>
      <w:r w:rsidRPr="00416996">
        <w:rPr>
          <w:rFonts w:ascii="Verdana" w:hAnsi="Verdana"/>
        </w:rPr>
        <w:t xml:space="preserve">   en el punto en el que se </w:t>
      </w:r>
      <w:r w:rsidR="002A7179" w:rsidRPr="00416996">
        <w:rPr>
          <w:rFonts w:ascii="Verdana" w:hAnsi="Verdana"/>
        </w:rPr>
        <w:t>superpone sobre</w:t>
      </w:r>
      <w:r w:rsidRPr="00416996">
        <w:rPr>
          <w:rFonts w:ascii="Verdana" w:hAnsi="Verdana"/>
        </w:rPr>
        <w:t xml:space="preserve"> este </w:t>
      </w:r>
      <w:r w:rsidR="002A7179" w:rsidRPr="00416996">
        <w:rPr>
          <w:rFonts w:ascii="Verdana" w:hAnsi="Verdana"/>
        </w:rPr>
        <w:t>hilo horizontal</w:t>
      </w:r>
      <w:r w:rsidRPr="00416996">
        <w:rPr>
          <w:rFonts w:ascii="Verdana" w:hAnsi="Verdana"/>
        </w:rPr>
        <w:t xml:space="preserve"> del resticulo </w:t>
      </w:r>
      <w:r w:rsidR="002A7179" w:rsidRPr="00416996">
        <w:rPr>
          <w:rFonts w:ascii="Verdana" w:hAnsi="Verdana"/>
        </w:rPr>
        <w:t>cuando el</w:t>
      </w:r>
      <w:r w:rsidRPr="00416996">
        <w:rPr>
          <w:rFonts w:ascii="Verdana" w:hAnsi="Verdana"/>
        </w:rPr>
        <w:t xml:space="preserve"> resticulo es estadimétrico   debe </w:t>
      </w:r>
      <w:r w:rsidR="002A7179" w:rsidRPr="00416996">
        <w:rPr>
          <w:rFonts w:ascii="Verdana" w:hAnsi="Verdana"/>
        </w:rPr>
        <w:t>realizarse la</w:t>
      </w:r>
      <w:r w:rsidRPr="00416996">
        <w:rPr>
          <w:rFonts w:ascii="Verdana" w:hAnsi="Verdana"/>
        </w:rPr>
        <w:t xml:space="preserve"> lectura   de los tres hilos  </w:t>
      </w:r>
      <w:r w:rsidR="002A7179" w:rsidRPr="00416996">
        <w:rPr>
          <w:rFonts w:ascii="Verdana" w:hAnsi="Verdana"/>
        </w:rPr>
        <w:t xml:space="preserve"> horizontales (lectura superior, central o inferior) para, además de utilizarlas en las expresiones en las que </w:t>
      </w:r>
      <w:r w:rsidR="0004513F" w:rsidRPr="00416996">
        <w:rPr>
          <w:rFonts w:ascii="Verdana" w:hAnsi="Verdana"/>
        </w:rPr>
        <w:t>intervienen,</w:t>
      </w:r>
      <w:r w:rsidR="002A7179" w:rsidRPr="00416996">
        <w:rPr>
          <w:rFonts w:ascii="Verdana" w:hAnsi="Verdana"/>
        </w:rPr>
        <w:t xml:space="preserve"> comprobar que existe</w:t>
      </w:r>
    </w:p>
    <w:p w14:paraId="5786F66B" w14:textId="74DD6DEB" w:rsidR="002A7179" w:rsidRDefault="002A7179" w:rsidP="00E34A4B">
      <w:r w:rsidRPr="002A7179">
        <w:rPr>
          <w:noProof/>
        </w:rPr>
        <w:drawing>
          <wp:inline distT="0" distB="0" distL="0" distR="0" wp14:anchorId="1BC06629" wp14:editId="0DE53BB7">
            <wp:extent cx="1937982" cy="2895701"/>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7376" cy="2909737"/>
                    </a:xfrm>
                    <a:prstGeom prst="rect">
                      <a:avLst/>
                    </a:prstGeom>
                    <a:noFill/>
                    <a:ln>
                      <a:noFill/>
                    </a:ln>
                  </pic:spPr>
                </pic:pic>
              </a:graphicData>
            </a:graphic>
          </wp:inline>
        </w:drawing>
      </w:r>
      <w:r w:rsidRPr="002A7179">
        <w:rPr>
          <w:noProof/>
        </w:rPr>
        <w:drawing>
          <wp:inline distT="0" distB="0" distL="0" distR="0" wp14:anchorId="15F05082" wp14:editId="29A332B7">
            <wp:extent cx="1855872" cy="335690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7149" cy="3377303"/>
                    </a:xfrm>
                    <a:prstGeom prst="rect">
                      <a:avLst/>
                    </a:prstGeom>
                    <a:noFill/>
                    <a:ln>
                      <a:noFill/>
                    </a:ln>
                  </pic:spPr>
                </pic:pic>
              </a:graphicData>
            </a:graphic>
          </wp:inline>
        </w:drawing>
      </w:r>
    </w:p>
    <w:p w14:paraId="6DCECF99" w14:textId="2A7E1605" w:rsidR="002A7179" w:rsidRDefault="002A7179" w:rsidP="00E34A4B"/>
    <w:p w14:paraId="421F94CF" w14:textId="509C9E9E" w:rsidR="00416996" w:rsidRPr="00416996" w:rsidRDefault="00416996" w:rsidP="00416996"/>
    <w:p w14:paraId="237DEFF0" w14:textId="316A8A2D" w:rsidR="00416996" w:rsidRPr="00416996" w:rsidRDefault="00416996" w:rsidP="00416996"/>
    <w:p w14:paraId="5F43BED5" w14:textId="44FCCD17" w:rsidR="00416996" w:rsidRDefault="00416996" w:rsidP="00416996"/>
    <w:p w14:paraId="3154D1C9" w14:textId="1E00CB1D" w:rsidR="00416996" w:rsidRDefault="00416996" w:rsidP="00416996">
      <w:pPr>
        <w:jc w:val="center"/>
      </w:pPr>
    </w:p>
    <w:p w14:paraId="1F7CC8C4" w14:textId="112EC7A5" w:rsidR="00416996" w:rsidRDefault="00416996" w:rsidP="00416996">
      <w:pPr>
        <w:jc w:val="center"/>
      </w:pPr>
    </w:p>
    <w:p w14:paraId="4AADC082" w14:textId="06BF2494" w:rsidR="00416996" w:rsidRDefault="00416996" w:rsidP="00416996">
      <w:pPr>
        <w:jc w:val="center"/>
      </w:pPr>
    </w:p>
    <w:p w14:paraId="6DEB0413" w14:textId="6C084396" w:rsidR="00416996" w:rsidRDefault="00416996" w:rsidP="00416996">
      <w:pPr>
        <w:jc w:val="center"/>
      </w:pPr>
    </w:p>
    <w:p w14:paraId="1415C6E8" w14:textId="227C7E09" w:rsidR="00416996" w:rsidRDefault="00416996" w:rsidP="00416996">
      <w:pPr>
        <w:jc w:val="center"/>
      </w:pPr>
    </w:p>
    <w:p w14:paraId="1CFBEB40" w14:textId="077CB0C6" w:rsidR="00416996" w:rsidRDefault="00416996" w:rsidP="00416996">
      <w:pPr>
        <w:jc w:val="center"/>
      </w:pPr>
    </w:p>
    <w:p w14:paraId="55964A16" w14:textId="01A503A4" w:rsidR="00416996" w:rsidRDefault="00416996" w:rsidP="00416996">
      <w:pPr>
        <w:jc w:val="center"/>
      </w:pPr>
    </w:p>
    <w:p w14:paraId="32894F4B" w14:textId="58B3CA3C" w:rsidR="00416996" w:rsidRDefault="00416996" w:rsidP="00416996">
      <w:pPr>
        <w:jc w:val="center"/>
      </w:pPr>
    </w:p>
    <w:p w14:paraId="04624AE9" w14:textId="49E0860A" w:rsidR="00416996" w:rsidRDefault="00416996" w:rsidP="00416996">
      <w:pPr>
        <w:jc w:val="center"/>
      </w:pPr>
    </w:p>
    <w:p w14:paraId="45830CB8" w14:textId="4F8BB593" w:rsidR="00416996" w:rsidRPr="00416996" w:rsidRDefault="00416996" w:rsidP="00416996">
      <w:pPr>
        <w:jc w:val="center"/>
        <w:rPr>
          <w:rFonts w:ascii="Verdana" w:hAnsi="Verdana"/>
          <w:b/>
          <w:bCs/>
          <w:i/>
          <w:iCs/>
          <w:sz w:val="36"/>
          <w:szCs w:val="36"/>
        </w:rPr>
      </w:pPr>
    </w:p>
    <w:p w14:paraId="3DC1B43A" w14:textId="4B2BD728" w:rsidR="00416996" w:rsidRPr="00416996" w:rsidRDefault="00416996" w:rsidP="00416996">
      <w:pPr>
        <w:jc w:val="center"/>
        <w:rPr>
          <w:rFonts w:ascii="Verdana" w:hAnsi="Verdana"/>
          <w:b/>
          <w:bCs/>
          <w:i/>
          <w:iCs/>
          <w:sz w:val="36"/>
          <w:szCs w:val="36"/>
        </w:rPr>
      </w:pPr>
    </w:p>
    <w:p w14:paraId="338DFC15" w14:textId="77777777" w:rsidR="00416996" w:rsidRPr="00416996" w:rsidRDefault="00416996" w:rsidP="00416996">
      <w:pPr>
        <w:jc w:val="center"/>
        <w:rPr>
          <w:rFonts w:ascii="Verdana" w:hAnsi="Verdana"/>
          <w:b/>
          <w:bCs/>
          <w:i/>
          <w:iCs/>
          <w:sz w:val="36"/>
          <w:szCs w:val="36"/>
        </w:rPr>
      </w:pPr>
      <w:r w:rsidRPr="00416996">
        <w:rPr>
          <w:rFonts w:ascii="Verdana" w:hAnsi="Verdana"/>
          <w:b/>
          <w:bCs/>
          <w:i/>
          <w:iCs/>
          <w:sz w:val="36"/>
          <w:szCs w:val="36"/>
        </w:rPr>
        <w:t>Miras topográficas de código de barras</w:t>
      </w:r>
    </w:p>
    <w:p w14:paraId="613A9DDF" w14:textId="20C769F3" w:rsidR="00416996" w:rsidRDefault="00416996" w:rsidP="00416996">
      <w:pPr>
        <w:jc w:val="center"/>
      </w:pPr>
    </w:p>
    <w:p w14:paraId="1D38655F" w14:textId="1795BC0A" w:rsidR="00416996" w:rsidRDefault="00416996" w:rsidP="00416996">
      <w:pPr>
        <w:jc w:val="center"/>
      </w:pPr>
    </w:p>
    <w:p w14:paraId="5B963306" w14:textId="77777777" w:rsidR="00416996" w:rsidRDefault="00416996" w:rsidP="00416996">
      <w:pPr>
        <w:jc w:val="both"/>
      </w:pPr>
      <w:r>
        <w:t>Miras topográficas de código de barras Con el fin de reducir el tiempo de trabajo y mejorar la precisión de las lecturas se utilizan miras con código de barras.</w:t>
      </w:r>
    </w:p>
    <w:p w14:paraId="5B5CDA52" w14:textId="2C306059" w:rsidR="00416996" w:rsidRDefault="00416996" w:rsidP="00416996">
      <w:pPr>
        <w:jc w:val="both"/>
      </w:pPr>
      <w:r>
        <w:t xml:space="preserve"> Para ello se equipa al instrumento con un procesador digital electrónico de imágenes que permite determinar la altura de mira y la distancia del instrumento a ésta. La lectura del código de barras de la mira se hace en forma electrónica y automáticamente y puede ser utilizada por el procesador del instrumento.</w:t>
      </w:r>
    </w:p>
    <w:p w14:paraId="42DCE4AD" w14:textId="77777777" w:rsidR="00416996" w:rsidRDefault="00416996" w:rsidP="00416996">
      <w:pPr>
        <w:jc w:val="both"/>
      </w:pPr>
      <w:r>
        <w:t xml:space="preserve">Las miras suelen ser de aluminio, telescópicas </w:t>
      </w:r>
      <w:r>
        <w:t>o desmontables</w:t>
      </w:r>
      <w:r>
        <w:t>. Las más precisas son de una pieza y llevan el código de barras grabado sobre una pletina de INVAR, aleación que conserva prácticamente inalterable su longitud ante la variación de la temperatura. Esta pletina va unida al armazón metálico mediante un dispositivo que hace que la dilatación</w:t>
      </w:r>
      <w:r>
        <w:t xml:space="preserve"> </w:t>
      </w:r>
      <w:r>
        <w:t>del armazón no afecte a la banda de código de barras. Suelen montar niveles esféricos, para facilitar su colocación vertical, y asas de sujeción.</w:t>
      </w:r>
    </w:p>
    <w:p w14:paraId="193CBBF1" w14:textId="1E47AD57" w:rsidR="00416996" w:rsidRDefault="0004513F" w:rsidP="00416996">
      <w:pPr>
        <w:jc w:val="both"/>
      </w:pPr>
      <w:r w:rsidRPr="0004513F">
        <w:rPr>
          <w:noProof/>
        </w:rPr>
        <w:drawing>
          <wp:inline distT="0" distB="0" distL="0" distR="0" wp14:anchorId="3FF69DBD" wp14:editId="6ACB8F5C">
            <wp:extent cx="3384550" cy="204025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4550" cy="2040255"/>
                    </a:xfrm>
                    <a:prstGeom prst="rect">
                      <a:avLst/>
                    </a:prstGeom>
                    <a:noFill/>
                    <a:ln>
                      <a:noFill/>
                    </a:ln>
                  </pic:spPr>
                </pic:pic>
              </a:graphicData>
            </a:graphic>
          </wp:inline>
        </w:drawing>
      </w:r>
    </w:p>
    <w:p w14:paraId="56462474" w14:textId="1F45FCA9" w:rsidR="00416996" w:rsidRPr="00416996" w:rsidRDefault="00416996" w:rsidP="00416996">
      <w:pPr>
        <w:jc w:val="center"/>
      </w:pPr>
    </w:p>
    <w:sectPr w:rsidR="00416996" w:rsidRPr="004169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4B"/>
    <w:rsid w:val="0004513F"/>
    <w:rsid w:val="002A7179"/>
    <w:rsid w:val="0032621D"/>
    <w:rsid w:val="003A7187"/>
    <w:rsid w:val="00416996"/>
    <w:rsid w:val="00493828"/>
    <w:rsid w:val="00E34A4B"/>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B450"/>
  <w15:chartTrackingRefBased/>
  <w15:docId w15:val="{430C0861-4904-447C-ADFC-B9F13D4E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lozano</dc:creator>
  <cp:keywords/>
  <dc:description/>
  <cp:lastModifiedBy>mateo lozano</cp:lastModifiedBy>
  <cp:revision>2</cp:revision>
  <dcterms:created xsi:type="dcterms:W3CDTF">2021-02-26T18:40:00Z</dcterms:created>
  <dcterms:modified xsi:type="dcterms:W3CDTF">2021-02-26T18:40:00Z</dcterms:modified>
</cp:coreProperties>
</file>