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F4" w:rsidRPr="008057FA" w:rsidRDefault="008057FA" w:rsidP="008057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8057FA">
        <w:rPr>
          <w:rFonts w:ascii="Times New Roman" w:hAnsi="Times New Roman" w:cs="Times New Roman"/>
          <w:b/>
          <w:sz w:val="24"/>
          <w:szCs w:val="24"/>
          <w:lang w:val="es-US"/>
        </w:rPr>
        <w:t>Modelo Lógico</w:t>
      </w:r>
    </w:p>
    <w:p w:rsidR="008057FA" w:rsidRPr="008057FA" w:rsidRDefault="008057FA" w:rsidP="008057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7FA">
        <w:rPr>
          <w:rFonts w:ascii="Times New Roman" w:hAnsi="Times New Roman" w:cs="Times New Roman"/>
          <w:sz w:val="24"/>
          <w:szCs w:val="24"/>
        </w:rPr>
        <w:t>“Todas las entidades, con sus atributos y relaciones, se representan en el modelo lógico usando el modelo de datos que soporta el DBMS. El modelo incluye cualesquiera restricciones sobre los datos e información semántica acerca de los significados de los datos.”</w:t>
      </w:r>
    </w:p>
    <w:p w:rsidR="008057FA" w:rsidRPr="008057FA" w:rsidRDefault="008057FA" w:rsidP="008057FA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8057FA">
        <w:rPr>
          <w:rFonts w:ascii="Times New Roman" w:hAnsi="Times New Roman" w:cs="Times New Roman"/>
        </w:rPr>
        <w:t>(Ricardo, 2009, pág. 65</w:t>
      </w:r>
      <w:r w:rsidRPr="008057FA">
        <w:rPr>
          <w:rFonts w:ascii="Times New Roman" w:hAnsi="Times New Roman" w:cs="Times New Roman"/>
        </w:rPr>
        <w:t xml:space="preserve">). </w:t>
      </w:r>
      <w:bookmarkStart w:id="0" w:name="_GoBack"/>
      <w:bookmarkEnd w:id="0"/>
    </w:p>
    <w:p w:rsidR="008057FA" w:rsidRPr="008057FA" w:rsidRDefault="008057FA" w:rsidP="008057FA"/>
    <w:sectPr w:rsidR="008057FA" w:rsidRPr="008057F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A"/>
    <w:rsid w:val="008057FA"/>
    <w:rsid w:val="00C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3BC7"/>
  <w15:chartTrackingRefBased/>
  <w15:docId w15:val="{E218D9DA-E78D-48A4-B39B-062C0B08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57F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2022-03-12T03:42:00Z</dcterms:created>
  <dcterms:modified xsi:type="dcterms:W3CDTF">2022-03-12T03:44:00Z</dcterms:modified>
</cp:coreProperties>
</file>